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561E" w:rsidRPr="0077561E" w:rsidRDefault="0077561E" w:rsidP="006B27A4">
      <w:pPr>
        <w:pStyle w:val="Header-3gppTdoc"/>
        <w:spacing w:after="0"/>
        <w:rPr>
          <w:noProof/>
          <w:lang w:val="en-GB"/>
        </w:rPr>
      </w:pPr>
      <w:r w:rsidRPr="0077561E">
        <w:rPr>
          <w:noProof/>
          <w:lang w:val="en-GB"/>
        </w:rPr>
        <w:t>3GPP TSG-RAN WG4 Meeting #9</w:t>
      </w:r>
      <w:r w:rsidR="00A01F3F">
        <w:rPr>
          <w:noProof/>
          <w:lang w:val="en-GB"/>
        </w:rPr>
        <w:t>3</w:t>
      </w:r>
      <w:r w:rsidR="00A01F3F">
        <w:rPr>
          <w:noProof/>
          <w:lang w:val="en-GB"/>
        </w:rPr>
        <w:tab/>
      </w:r>
      <w:r w:rsidRPr="0077561E">
        <w:rPr>
          <w:noProof/>
          <w:lang w:val="en-GB"/>
        </w:rPr>
        <w:tab/>
      </w:r>
      <w:r w:rsidR="0056282D" w:rsidRPr="005D424C">
        <w:rPr>
          <w:noProof/>
          <w:lang w:val="en-GB"/>
        </w:rPr>
        <w:t>R4-19</w:t>
      </w:r>
      <w:r w:rsidR="005D424C" w:rsidRPr="005D424C">
        <w:rPr>
          <w:noProof/>
          <w:lang w:val="en-GB"/>
        </w:rPr>
        <w:t>13479</w:t>
      </w:r>
    </w:p>
    <w:p w:rsidR="00EA2420" w:rsidRDefault="00A01F3F" w:rsidP="006B27A4">
      <w:pPr>
        <w:pStyle w:val="Header-3gppTdoc"/>
      </w:pPr>
      <w:r>
        <w:rPr>
          <w:noProof/>
          <w:lang w:val="en-GB"/>
        </w:rPr>
        <w:t>Reno</w:t>
      </w:r>
      <w:r w:rsidR="0056282D" w:rsidRPr="0056282D">
        <w:rPr>
          <w:noProof/>
          <w:lang w:val="en-GB"/>
        </w:rPr>
        <w:t xml:space="preserve"> , </w:t>
      </w:r>
      <w:r>
        <w:rPr>
          <w:noProof/>
          <w:lang w:val="en-GB"/>
        </w:rPr>
        <w:t>USA</w:t>
      </w:r>
      <w:r w:rsidR="0056282D" w:rsidRPr="0056282D">
        <w:rPr>
          <w:noProof/>
          <w:lang w:val="en-GB"/>
        </w:rPr>
        <w:t xml:space="preserve">, </w:t>
      </w:r>
      <w:r>
        <w:rPr>
          <w:noProof/>
          <w:lang w:val="en-GB"/>
        </w:rPr>
        <w:t>18</w:t>
      </w:r>
      <w:r w:rsidRPr="00A01F3F">
        <w:rPr>
          <w:noProof/>
          <w:vertAlign w:val="superscript"/>
          <w:lang w:val="en-GB"/>
        </w:rPr>
        <w:t>th</w:t>
      </w:r>
      <w:r>
        <w:rPr>
          <w:noProof/>
          <w:lang w:val="en-GB"/>
        </w:rPr>
        <w:t xml:space="preserve"> – 22</w:t>
      </w:r>
      <w:r w:rsidRPr="00A01F3F">
        <w:rPr>
          <w:noProof/>
          <w:vertAlign w:val="superscript"/>
          <w:lang w:val="en-GB"/>
        </w:rPr>
        <w:t>nd</w:t>
      </w:r>
      <w:r>
        <w:rPr>
          <w:noProof/>
          <w:lang w:val="en-GB"/>
        </w:rPr>
        <w:t xml:space="preserve"> Nov,</w:t>
      </w:r>
      <w:r w:rsidR="0056282D" w:rsidRPr="0056282D">
        <w:rPr>
          <w:noProof/>
          <w:lang w:val="en-GB"/>
        </w:rPr>
        <w:t xml:space="preserve"> 2019</w:t>
      </w:r>
    </w:p>
    <w:p w:rsidR="00F25FDF" w:rsidRPr="00F25FDF" w:rsidRDefault="00F25FDF" w:rsidP="006B27A4">
      <w:pPr>
        <w:pStyle w:val="Header-3gppTdoc"/>
      </w:pPr>
      <w:r w:rsidRPr="00F25FDF">
        <w:t xml:space="preserve">Agenda item:      </w:t>
      </w:r>
      <w:r w:rsidR="007E108E">
        <w:t xml:space="preserve"> </w:t>
      </w:r>
      <w:r w:rsidR="00CA5AB7">
        <w:t>7.10.8.4</w:t>
      </w:r>
    </w:p>
    <w:p w:rsidR="00F25FDF" w:rsidRPr="00F25FDF" w:rsidRDefault="00F25FDF" w:rsidP="006B27A4">
      <w:pPr>
        <w:pStyle w:val="Header-3gppTdoc"/>
      </w:pPr>
      <w:r w:rsidRPr="00F25FDF">
        <w:t>Source:                Intel Corporation</w:t>
      </w:r>
    </w:p>
    <w:p w:rsidR="00F25FDF" w:rsidRPr="00F25FDF" w:rsidRDefault="00037226" w:rsidP="00F3314D">
      <w:pPr>
        <w:pStyle w:val="Header-3gppTdoc"/>
        <w:ind w:left="1980" w:hanging="1980"/>
      </w:pPr>
      <w:r>
        <w:t>Title:</w:t>
      </w:r>
      <w:r w:rsidR="00F3314D">
        <w:t xml:space="preserve">                     </w:t>
      </w:r>
      <w:r w:rsidR="008716B4" w:rsidRPr="008716B4">
        <w:t>Discussion on open issues related to TCI state switching</w:t>
      </w:r>
    </w:p>
    <w:p w:rsidR="00F25FDF" w:rsidRPr="00F25FDF" w:rsidRDefault="00F25FDF" w:rsidP="006B27A4">
      <w:pPr>
        <w:pStyle w:val="Header-3gppTdoc"/>
      </w:pPr>
      <w:r w:rsidRPr="00F25FDF">
        <w:t>Document for:     Discussion</w:t>
      </w:r>
    </w:p>
    <w:p w:rsidR="00F25FDF" w:rsidRDefault="00F25FDF" w:rsidP="00F25FDF">
      <w:pPr>
        <w:pStyle w:val="Heading1"/>
        <w:numPr>
          <w:ilvl w:val="0"/>
          <w:numId w:val="22"/>
        </w:numPr>
        <w:overflowPunct/>
        <w:autoSpaceDE/>
        <w:autoSpaceDN/>
        <w:adjustRightInd/>
        <w:textAlignment w:val="auto"/>
        <w:rPr>
          <w:lang w:val="en-US"/>
        </w:rPr>
      </w:pPr>
      <w:r>
        <w:rPr>
          <w:lang w:val="en-US"/>
        </w:rPr>
        <w:t>Introduction</w:t>
      </w:r>
    </w:p>
    <w:p w:rsidR="00B13CAE" w:rsidRPr="006B27A4" w:rsidRDefault="00F25FDF" w:rsidP="006B27A4">
      <w:r w:rsidRPr="006B27A4">
        <w:t>In RAN4#</w:t>
      </w:r>
      <w:r w:rsidR="00EA2420" w:rsidRPr="006B27A4">
        <w:t>9</w:t>
      </w:r>
      <w:r w:rsidR="0056282D" w:rsidRPr="006B27A4">
        <w:t>2</w:t>
      </w:r>
      <w:r w:rsidR="00AB1D0C" w:rsidRPr="006B27A4">
        <w:t>bis</w:t>
      </w:r>
      <w:r w:rsidR="00A71A68">
        <w:t xml:space="preserve"> way forward on TCI state switching was approved [1]. In this contribution we present our views on the open issues raised in RAN4#92bis.</w:t>
      </w:r>
    </w:p>
    <w:p w:rsidR="00F25FDF" w:rsidRPr="00102C46" w:rsidRDefault="00F25FDF" w:rsidP="00102C46">
      <w:pPr>
        <w:pStyle w:val="Heading1"/>
        <w:numPr>
          <w:ilvl w:val="0"/>
          <w:numId w:val="22"/>
        </w:numPr>
        <w:overflowPunct/>
        <w:autoSpaceDE/>
        <w:autoSpaceDN/>
        <w:adjustRightInd/>
        <w:textAlignment w:val="auto"/>
        <w:rPr>
          <w:lang w:val="en-US"/>
        </w:rPr>
      </w:pPr>
      <w:bookmarkStart w:id="0" w:name="_GoBack"/>
      <w:bookmarkEnd w:id="0"/>
      <w:r w:rsidRPr="00102C46">
        <w:rPr>
          <w:lang w:val="en-US"/>
        </w:rPr>
        <w:t>Discussion</w:t>
      </w:r>
    </w:p>
    <w:p w:rsidR="00F25FDF" w:rsidRDefault="00A71A68" w:rsidP="006B27A4">
      <w:r>
        <w:t>The open issues related to TCI state switching</w:t>
      </w:r>
      <w:r w:rsidR="00921ADB">
        <w:t xml:space="preserve"> discussed in [1]</w:t>
      </w:r>
      <w:r>
        <w:t xml:space="preserve"> are</w:t>
      </w:r>
    </w:p>
    <w:p w:rsidR="003B18A7" w:rsidRDefault="003B18A7" w:rsidP="00A71A68">
      <w:pPr>
        <w:pStyle w:val="ListParagraph"/>
        <w:numPr>
          <w:ilvl w:val="0"/>
          <w:numId w:val="24"/>
        </w:numPr>
      </w:pPr>
      <w:bookmarkStart w:id="1" w:name="_Hlk23861665"/>
      <w:r>
        <w:t>TCI state switching requirements for CSI-RS for CQI</w:t>
      </w:r>
    </w:p>
    <w:bookmarkEnd w:id="1"/>
    <w:p w:rsidR="00A71A68" w:rsidRDefault="00A71A68" w:rsidP="00A71A68">
      <w:pPr>
        <w:pStyle w:val="ListParagraph"/>
        <w:numPr>
          <w:ilvl w:val="0"/>
          <w:numId w:val="24"/>
        </w:numPr>
      </w:pPr>
      <w:r>
        <w:t>Definition of known condition</w:t>
      </w:r>
    </w:p>
    <w:p w:rsidR="00A71A68" w:rsidRDefault="00A71A68" w:rsidP="00A71A68">
      <w:pPr>
        <w:pStyle w:val="ListParagraph"/>
        <w:numPr>
          <w:ilvl w:val="0"/>
          <w:numId w:val="24"/>
        </w:numPr>
      </w:pPr>
      <w:r>
        <w:t>Definition of first SSB</w:t>
      </w:r>
    </w:p>
    <w:p w:rsidR="00A71A68" w:rsidRDefault="00A71A68" w:rsidP="00A71A68">
      <w:pPr>
        <w:pStyle w:val="ListParagraph"/>
        <w:numPr>
          <w:ilvl w:val="0"/>
          <w:numId w:val="24"/>
        </w:numPr>
      </w:pPr>
      <w:r>
        <w:t>QCL based issues</w:t>
      </w:r>
    </w:p>
    <w:p w:rsidR="00A71A68" w:rsidRDefault="00A71A68" w:rsidP="00A71A68">
      <w:pPr>
        <w:pStyle w:val="ListParagraph"/>
        <w:numPr>
          <w:ilvl w:val="0"/>
          <w:numId w:val="24"/>
        </w:numPr>
      </w:pPr>
      <w:r>
        <w:t>RRC based TCI switching delay</w:t>
      </w:r>
    </w:p>
    <w:p w:rsidR="00A71A68" w:rsidRDefault="00A71A68" w:rsidP="00A71A68"/>
    <w:p w:rsidR="00F25FDF" w:rsidRPr="003B18A7" w:rsidRDefault="003B18A7" w:rsidP="006B27A4">
      <w:pPr>
        <w:rPr>
          <w:b/>
          <w:sz w:val="24"/>
        </w:rPr>
      </w:pPr>
      <w:r w:rsidRPr="003B18A7">
        <w:rPr>
          <w:b/>
          <w:sz w:val="24"/>
        </w:rPr>
        <w:t>TCI state switching requirements for CSI-RS for CQI</w:t>
      </w:r>
    </w:p>
    <w:p w:rsidR="00F25FDF" w:rsidRDefault="003B18A7" w:rsidP="006B27A4">
      <w:pPr>
        <w:rPr>
          <w:lang w:eastAsia="en-GB"/>
        </w:rPr>
      </w:pPr>
      <w:r>
        <w:rPr>
          <w:lang w:eastAsia="en-GB"/>
        </w:rPr>
        <w:t>For TCI state switching requirements for CSI-RS for CQI,</w:t>
      </w:r>
      <w:r w:rsidR="00FF60BB">
        <w:rPr>
          <w:lang w:eastAsia="en-GB"/>
        </w:rPr>
        <w:t xml:space="preserve"> </w:t>
      </w:r>
      <w:r w:rsidR="00B17B51">
        <w:rPr>
          <w:lang w:eastAsia="en-GB"/>
        </w:rPr>
        <w:t>there was a proposal to introduce requirements in Rel-</w:t>
      </w:r>
      <w:proofErr w:type="gramStart"/>
      <w:r w:rsidR="00B17B51">
        <w:rPr>
          <w:lang w:eastAsia="en-GB"/>
        </w:rPr>
        <w:t>16 time</w:t>
      </w:r>
      <w:proofErr w:type="gramEnd"/>
      <w:r w:rsidR="00B17B51">
        <w:rPr>
          <w:lang w:eastAsia="en-GB"/>
        </w:rPr>
        <w:t xml:space="preserve"> frame. </w:t>
      </w:r>
      <w:r>
        <w:rPr>
          <w:lang w:eastAsia="en-GB"/>
        </w:rPr>
        <w:t xml:space="preserve"> </w:t>
      </w:r>
      <w:r w:rsidR="00B17B51">
        <w:rPr>
          <w:lang w:eastAsia="en-GB"/>
        </w:rPr>
        <w:t>F</w:t>
      </w:r>
      <w:r w:rsidR="00FF60BB">
        <w:rPr>
          <w:lang w:eastAsia="en-GB"/>
        </w:rPr>
        <w:t xml:space="preserve">irstly, we need to understand </w:t>
      </w:r>
      <w:r w:rsidR="00B17B51">
        <w:rPr>
          <w:lang w:eastAsia="en-GB"/>
        </w:rPr>
        <w:t xml:space="preserve">the </w:t>
      </w:r>
      <w:r w:rsidR="00FF60BB">
        <w:rPr>
          <w:lang w:eastAsia="en-GB"/>
        </w:rPr>
        <w:t xml:space="preserve">motivation for introducing such requirements. </w:t>
      </w:r>
      <w:r w:rsidR="00B17B51">
        <w:rPr>
          <w:lang w:eastAsia="en-GB"/>
        </w:rPr>
        <w:t xml:space="preserve">Also, </w:t>
      </w:r>
      <w:r w:rsidR="00FF60BB">
        <w:rPr>
          <w:lang w:eastAsia="en-GB"/>
        </w:rPr>
        <w:t>RAN4 should discuss further if there is necessity to introduce such requirements in Rel-16</w:t>
      </w:r>
      <w:r>
        <w:rPr>
          <w:lang w:eastAsia="en-GB"/>
        </w:rPr>
        <w:t>.</w:t>
      </w:r>
      <w:r w:rsidR="0076400F">
        <w:rPr>
          <w:lang w:eastAsia="en-GB"/>
        </w:rPr>
        <w:t xml:space="preserve"> </w:t>
      </w:r>
    </w:p>
    <w:p w:rsidR="003B18A7" w:rsidRPr="0076400F" w:rsidRDefault="003B18A7" w:rsidP="006B27A4">
      <w:pPr>
        <w:rPr>
          <w:b/>
          <w:lang w:eastAsia="en-GB"/>
        </w:rPr>
      </w:pPr>
      <w:r w:rsidRPr="0076400F">
        <w:rPr>
          <w:b/>
          <w:lang w:eastAsia="en-GB"/>
        </w:rPr>
        <w:t xml:space="preserve">Proposal #1: Discuss </w:t>
      </w:r>
      <w:r w:rsidR="0076400F" w:rsidRPr="0076400F">
        <w:rPr>
          <w:b/>
          <w:lang w:eastAsia="en-GB"/>
        </w:rPr>
        <w:t xml:space="preserve">motivation </w:t>
      </w:r>
      <w:r w:rsidR="00B17B51">
        <w:rPr>
          <w:b/>
          <w:lang w:eastAsia="en-GB"/>
        </w:rPr>
        <w:t xml:space="preserve">and necessity </w:t>
      </w:r>
      <w:r w:rsidR="0076400F">
        <w:rPr>
          <w:b/>
          <w:lang w:eastAsia="en-GB"/>
        </w:rPr>
        <w:t xml:space="preserve">to </w:t>
      </w:r>
      <w:r w:rsidR="0076400F" w:rsidRPr="0076400F">
        <w:rPr>
          <w:b/>
          <w:lang w:eastAsia="en-GB"/>
        </w:rPr>
        <w:t>i</w:t>
      </w:r>
      <w:r w:rsidRPr="0076400F">
        <w:rPr>
          <w:b/>
          <w:lang w:eastAsia="en-GB"/>
        </w:rPr>
        <w:t>ntroduc</w:t>
      </w:r>
      <w:r w:rsidR="0076400F">
        <w:rPr>
          <w:b/>
          <w:lang w:eastAsia="en-GB"/>
        </w:rPr>
        <w:t>e</w:t>
      </w:r>
      <w:r w:rsidRPr="0076400F">
        <w:rPr>
          <w:b/>
          <w:lang w:eastAsia="en-GB"/>
        </w:rPr>
        <w:t xml:space="preserve"> of TCI state switching requirements for CSI-RS </w:t>
      </w:r>
      <w:r w:rsidR="00B17B51">
        <w:rPr>
          <w:b/>
          <w:lang w:eastAsia="en-GB"/>
        </w:rPr>
        <w:t xml:space="preserve">for CQI </w:t>
      </w:r>
      <w:r w:rsidRPr="0076400F">
        <w:rPr>
          <w:b/>
          <w:lang w:eastAsia="en-GB"/>
        </w:rPr>
        <w:t>in Rel-16</w:t>
      </w:r>
    </w:p>
    <w:p w:rsidR="003B18A7" w:rsidRDefault="003B18A7" w:rsidP="006B27A4">
      <w:pPr>
        <w:rPr>
          <w:lang w:eastAsia="en-GB"/>
        </w:rPr>
      </w:pPr>
    </w:p>
    <w:p w:rsidR="003B18A7" w:rsidRPr="003B18A7" w:rsidRDefault="003B18A7" w:rsidP="006B27A4">
      <w:pPr>
        <w:rPr>
          <w:b/>
          <w:sz w:val="24"/>
        </w:rPr>
      </w:pPr>
      <w:r w:rsidRPr="003B18A7">
        <w:rPr>
          <w:b/>
          <w:sz w:val="24"/>
        </w:rPr>
        <w:t>Definition of known condition</w:t>
      </w:r>
    </w:p>
    <w:p w:rsidR="003B18A7" w:rsidRDefault="001D199C" w:rsidP="006B27A4">
      <w:pPr>
        <w:rPr>
          <w:lang w:eastAsia="en-GB"/>
        </w:rPr>
      </w:pPr>
      <w:r>
        <w:rPr>
          <w:lang w:eastAsia="en-GB"/>
        </w:rPr>
        <w:t>In TS 38.133, the definition of known TCI state is as:</w:t>
      </w:r>
    </w:p>
    <w:p w:rsidR="001D199C" w:rsidRDefault="001D199C" w:rsidP="006B27A4">
      <w:pPr>
        <w:rPr>
          <w:lang w:eastAsia="en-GB"/>
        </w:rPr>
      </w:pPr>
    </w:p>
    <w:tbl>
      <w:tblPr>
        <w:tblStyle w:val="TableGrid"/>
        <w:tblW w:w="0" w:type="auto"/>
        <w:tblLook w:val="04A0" w:firstRow="1" w:lastRow="0" w:firstColumn="1" w:lastColumn="0" w:noHBand="0" w:noVBand="1"/>
      </w:tblPr>
      <w:tblGrid>
        <w:gridCol w:w="9350"/>
      </w:tblGrid>
      <w:tr w:rsidR="001D199C" w:rsidTr="001D199C">
        <w:tc>
          <w:tcPr>
            <w:tcW w:w="9350" w:type="dxa"/>
          </w:tcPr>
          <w:p w:rsidR="001D199C" w:rsidRPr="001D199C" w:rsidRDefault="001D199C" w:rsidP="001D199C">
            <w:pPr>
              <w:tabs>
                <w:tab w:val="left" w:pos="0"/>
              </w:tabs>
              <w:spacing w:after="180"/>
              <w:jc w:val="left"/>
              <w:rPr>
                <w:rFonts w:eastAsia="Malgun Gothic" w:cs="v4.2.0"/>
                <w:lang w:val="en-GB" w:eastAsia="zh-CN"/>
              </w:rPr>
            </w:pPr>
            <w:r w:rsidRPr="001D199C">
              <w:rPr>
                <w:rFonts w:eastAsia="Malgun Gothic" w:cs="v4.2.0"/>
                <w:lang w:eastAsia="zh-CN"/>
              </w:rPr>
              <w:t>T</w:t>
            </w:r>
            <w:r w:rsidRPr="001D199C">
              <w:rPr>
                <w:rFonts w:eastAsia="Malgun Gothic" w:cs="v4.2.0"/>
                <w:lang w:val="en-GB" w:eastAsia="zh-CN"/>
              </w:rPr>
              <w:t>he TCI state is known if it has been meeting the following conditions:</w:t>
            </w:r>
          </w:p>
          <w:p w:rsidR="001D199C" w:rsidRPr="001D199C" w:rsidRDefault="001D199C" w:rsidP="001D199C">
            <w:pPr>
              <w:spacing w:after="180"/>
              <w:ind w:left="568" w:hanging="284"/>
              <w:jc w:val="left"/>
              <w:rPr>
                <w:rFonts w:eastAsia="SimSun"/>
                <w:lang w:val="en-GB" w:eastAsia="zh-CN"/>
              </w:rPr>
            </w:pPr>
            <w:r w:rsidRPr="001D199C">
              <w:rPr>
                <w:rFonts w:eastAsia="SimSun"/>
                <w:lang w:val="en-GB" w:eastAsia="zh-CN"/>
              </w:rPr>
              <w:t>-</w:t>
            </w:r>
            <w:r w:rsidRPr="001D199C">
              <w:rPr>
                <w:rFonts w:eastAsia="SimSun"/>
                <w:lang w:val="en-GB" w:eastAsia="zh-CN"/>
              </w:rPr>
              <w:tab/>
              <w:t xml:space="preserve">TCI state switch command is received within [1280] </w:t>
            </w:r>
            <w:proofErr w:type="spellStart"/>
            <w:r w:rsidRPr="001D199C">
              <w:rPr>
                <w:rFonts w:eastAsia="SimSun"/>
                <w:lang w:val="en-GB" w:eastAsia="zh-CN"/>
              </w:rPr>
              <w:t>ms</w:t>
            </w:r>
            <w:proofErr w:type="spellEnd"/>
            <w:r w:rsidRPr="001D199C">
              <w:rPr>
                <w:rFonts w:eastAsia="SimSun"/>
                <w:lang w:val="en-GB" w:eastAsia="zh-CN"/>
              </w:rPr>
              <w:t xml:space="preserve"> of the last transmission of the RS resource for beam reporting or measurement for the target TCI state</w:t>
            </w:r>
          </w:p>
          <w:p w:rsidR="001D199C" w:rsidRPr="001D199C" w:rsidRDefault="001D199C" w:rsidP="001D199C">
            <w:pPr>
              <w:spacing w:after="180"/>
              <w:ind w:left="568" w:hanging="284"/>
              <w:jc w:val="left"/>
              <w:rPr>
                <w:rFonts w:eastAsia="SimSun"/>
                <w:lang w:val="en-GB" w:eastAsia="zh-CN"/>
              </w:rPr>
            </w:pPr>
            <w:r w:rsidRPr="001D199C">
              <w:rPr>
                <w:rFonts w:eastAsia="SimSun"/>
                <w:lang w:val="en-GB" w:eastAsia="zh-CN"/>
              </w:rPr>
              <w:t>-</w:t>
            </w:r>
            <w:r w:rsidRPr="001D199C">
              <w:rPr>
                <w:rFonts w:eastAsia="SimSun"/>
                <w:lang w:val="en-GB" w:eastAsia="zh-CN"/>
              </w:rPr>
              <w:tab/>
              <w:t>The UE has sent at least 1 measurement report for the target TCI state</w:t>
            </w:r>
          </w:p>
          <w:p w:rsidR="001D199C" w:rsidRPr="001D199C" w:rsidRDefault="001D199C" w:rsidP="001D199C">
            <w:pPr>
              <w:spacing w:after="180"/>
              <w:ind w:left="568" w:hanging="284"/>
              <w:jc w:val="left"/>
              <w:rPr>
                <w:rFonts w:eastAsia="SimSun"/>
                <w:lang w:val="en-GB" w:eastAsia="zh-CN"/>
              </w:rPr>
            </w:pPr>
            <w:r w:rsidRPr="001D199C">
              <w:rPr>
                <w:rFonts w:eastAsia="SimSun"/>
                <w:lang w:val="en-GB" w:eastAsia="zh-CN"/>
              </w:rPr>
              <w:t>-</w:t>
            </w:r>
            <w:r w:rsidRPr="001D199C">
              <w:rPr>
                <w:rFonts w:eastAsia="SimSun"/>
                <w:lang w:val="en-GB" w:eastAsia="zh-CN"/>
              </w:rPr>
              <w:tab/>
              <w:t>The TCI state remain detectable during the TCI state switching period</w:t>
            </w:r>
          </w:p>
          <w:p w:rsidR="001D199C" w:rsidRPr="001D199C" w:rsidRDefault="001D199C" w:rsidP="001D199C">
            <w:pPr>
              <w:spacing w:after="180"/>
              <w:ind w:left="568" w:hanging="284"/>
              <w:jc w:val="left"/>
              <w:rPr>
                <w:rFonts w:eastAsia="SimSun"/>
                <w:lang w:val="en-GB" w:eastAsia="zh-CN"/>
              </w:rPr>
            </w:pPr>
            <w:r w:rsidRPr="001D199C">
              <w:rPr>
                <w:rFonts w:eastAsia="SimSun"/>
                <w:lang w:val="en-GB" w:eastAsia="zh-CN"/>
              </w:rPr>
              <w:t>-</w:t>
            </w:r>
            <w:r w:rsidRPr="001D199C">
              <w:rPr>
                <w:rFonts w:eastAsia="SimSun"/>
                <w:lang w:val="en-GB" w:eastAsia="zh-CN"/>
              </w:rPr>
              <w:tab/>
            </w:r>
            <w:bookmarkStart w:id="2" w:name="_Hlk18067072"/>
            <w:r w:rsidRPr="001D199C">
              <w:rPr>
                <w:rFonts w:eastAsia="SimSun"/>
                <w:lang w:val="en-GB" w:eastAsia="zh-CN"/>
              </w:rPr>
              <w:t>The SSB associated with the TCI state remain detectable during the TCI switching period</w:t>
            </w:r>
            <w:bookmarkEnd w:id="2"/>
          </w:p>
          <w:p w:rsidR="001D199C" w:rsidRPr="001D199C" w:rsidRDefault="001D199C" w:rsidP="001D199C">
            <w:pPr>
              <w:spacing w:after="180"/>
              <w:ind w:left="851" w:hanging="284"/>
              <w:jc w:val="left"/>
              <w:rPr>
                <w:rFonts w:eastAsia="SimSun"/>
                <w:lang w:val="en-GB" w:eastAsia="zh-CN"/>
              </w:rPr>
            </w:pPr>
            <w:r w:rsidRPr="001D199C">
              <w:rPr>
                <w:rFonts w:eastAsia="SimSun"/>
                <w:lang w:val="en-GB" w:eastAsia="zh-CN"/>
              </w:rPr>
              <w:t>-</w:t>
            </w:r>
            <w:r w:rsidRPr="001D199C">
              <w:rPr>
                <w:rFonts w:eastAsia="SimSun"/>
                <w:lang w:val="en-GB" w:eastAsia="zh-CN"/>
              </w:rPr>
              <w:tab/>
              <w:t xml:space="preserve">SNR of the TCI state is </w:t>
            </w:r>
            <w:r w:rsidRPr="001D199C">
              <w:rPr>
                <w:rFonts w:eastAsia="Calibri"/>
                <w:lang w:val="en-GB"/>
              </w:rPr>
              <w:t>≥</w:t>
            </w:r>
            <w:r w:rsidRPr="001D199C">
              <w:rPr>
                <w:rFonts w:eastAsia="SimSun"/>
                <w:lang w:val="en-GB" w:eastAsia="zh-CN"/>
              </w:rPr>
              <w:t xml:space="preserve"> -3dB</w:t>
            </w:r>
          </w:p>
          <w:p w:rsidR="001D199C" w:rsidRPr="001D199C" w:rsidRDefault="001D199C" w:rsidP="001D199C">
            <w:pPr>
              <w:spacing w:after="180"/>
              <w:jc w:val="left"/>
              <w:rPr>
                <w:rFonts w:eastAsia="Malgun Gothic"/>
                <w:lang w:val="en-GB" w:eastAsia="zh-CN"/>
              </w:rPr>
            </w:pPr>
            <w:r w:rsidRPr="001D199C">
              <w:rPr>
                <w:rFonts w:eastAsia="Malgun Gothic"/>
                <w:lang w:val="en-GB" w:eastAsia="zh-CN"/>
              </w:rPr>
              <w:lastRenderedPageBreak/>
              <w:t>Otherwise, the TCI state is unknown.</w:t>
            </w:r>
          </w:p>
        </w:tc>
      </w:tr>
    </w:tbl>
    <w:p w:rsidR="001D199C" w:rsidRDefault="001D199C" w:rsidP="006B27A4">
      <w:pPr>
        <w:rPr>
          <w:lang w:eastAsia="en-GB"/>
        </w:rPr>
      </w:pPr>
    </w:p>
    <w:p w:rsidR="001D199C" w:rsidRDefault="001D199C" w:rsidP="006B27A4">
      <w:pPr>
        <w:rPr>
          <w:lang w:eastAsia="en-GB"/>
        </w:rPr>
      </w:pPr>
      <w:r>
        <w:rPr>
          <w:lang w:eastAsia="en-GB"/>
        </w:rPr>
        <w:t>In [1] the following update was proposed:</w:t>
      </w:r>
    </w:p>
    <w:p w:rsidR="001D199C" w:rsidRPr="001D199C" w:rsidRDefault="001D199C" w:rsidP="001D199C">
      <w:pPr>
        <w:rPr>
          <w:lang w:eastAsia="en-GB"/>
        </w:rPr>
      </w:pPr>
      <w:r>
        <w:rPr>
          <w:lang w:val="en-GB" w:eastAsia="en-GB"/>
        </w:rPr>
        <w:t>T</w:t>
      </w:r>
      <w:r w:rsidRPr="001D199C">
        <w:rPr>
          <w:lang w:val="en-GB" w:eastAsia="en-GB"/>
        </w:rPr>
        <w:t>he TCI state is known if it has been meeting the following conditions:</w:t>
      </w:r>
    </w:p>
    <w:p w:rsidR="001D199C" w:rsidRPr="001D199C" w:rsidRDefault="001D199C" w:rsidP="001D199C">
      <w:pPr>
        <w:pStyle w:val="ListParagraph"/>
        <w:numPr>
          <w:ilvl w:val="0"/>
          <w:numId w:val="25"/>
        </w:numPr>
        <w:rPr>
          <w:lang w:eastAsia="en-GB"/>
        </w:rPr>
      </w:pPr>
      <w:r w:rsidRPr="001D199C">
        <w:rPr>
          <w:lang w:val="en-GB" w:eastAsia="en-GB"/>
        </w:rPr>
        <w:t xml:space="preserve">TCI state switch command is received within [1280] </w:t>
      </w:r>
      <w:proofErr w:type="spellStart"/>
      <w:r w:rsidRPr="001D199C">
        <w:rPr>
          <w:lang w:val="en-GB" w:eastAsia="en-GB"/>
        </w:rPr>
        <w:t>ms</w:t>
      </w:r>
      <w:proofErr w:type="spellEnd"/>
      <w:r w:rsidRPr="001D199C">
        <w:rPr>
          <w:lang w:val="en-GB" w:eastAsia="en-GB"/>
        </w:rPr>
        <w:t xml:space="preserve"> of the last transmission of the RS resource for beam reporting or measurement for the target TCI state</w:t>
      </w:r>
    </w:p>
    <w:p w:rsidR="001D199C" w:rsidRPr="001D199C" w:rsidRDefault="001D199C" w:rsidP="001D199C">
      <w:pPr>
        <w:pStyle w:val="ListParagraph"/>
        <w:numPr>
          <w:ilvl w:val="0"/>
          <w:numId w:val="25"/>
        </w:numPr>
        <w:rPr>
          <w:lang w:eastAsia="en-GB"/>
        </w:rPr>
      </w:pPr>
      <w:r w:rsidRPr="001D199C">
        <w:rPr>
          <w:lang w:val="en-GB" w:eastAsia="en-GB"/>
        </w:rPr>
        <w:t xml:space="preserve">The UE has sent at least 1 measurement report for the target TCI state </w:t>
      </w:r>
      <w:r w:rsidRPr="001D199C">
        <w:rPr>
          <w:color w:val="FF0000"/>
          <w:lang w:val="en-GB" w:eastAsia="en-GB"/>
        </w:rPr>
        <w:t xml:space="preserve">within TBD </w:t>
      </w:r>
      <w:proofErr w:type="spellStart"/>
      <w:r w:rsidRPr="001D199C">
        <w:rPr>
          <w:color w:val="FF0000"/>
          <w:lang w:val="en-GB" w:eastAsia="en-GB"/>
        </w:rPr>
        <w:t>ms</w:t>
      </w:r>
      <w:proofErr w:type="spellEnd"/>
      <w:r w:rsidRPr="001D199C">
        <w:rPr>
          <w:color w:val="FF0000"/>
          <w:lang w:val="en-GB" w:eastAsia="en-GB"/>
        </w:rPr>
        <w:t xml:space="preserve"> </w:t>
      </w:r>
    </w:p>
    <w:p w:rsidR="001D199C" w:rsidRPr="001D199C" w:rsidRDefault="001D199C" w:rsidP="001D199C">
      <w:pPr>
        <w:pStyle w:val="ListParagraph"/>
        <w:numPr>
          <w:ilvl w:val="0"/>
          <w:numId w:val="25"/>
        </w:numPr>
        <w:rPr>
          <w:lang w:eastAsia="en-GB"/>
        </w:rPr>
      </w:pPr>
      <w:r w:rsidRPr="001D199C">
        <w:rPr>
          <w:lang w:val="en-GB" w:eastAsia="en-GB"/>
        </w:rPr>
        <w:t xml:space="preserve">The TCI state remain detectable </w:t>
      </w:r>
      <w:r w:rsidRPr="001D199C">
        <w:rPr>
          <w:color w:val="FF0000"/>
          <w:lang w:val="en-GB" w:eastAsia="en-GB"/>
        </w:rPr>
        <w:t>from the last transmission of the RS resource used for the L1-RSRP measurement reporting</w:t>
      </w:r>
      <w:r w:rsidRPr="001D199C">
        <w:rPr>
          <w:lang w:val="en-GB" w:eastAsia="en-GB"/>
        </w:rPr>
        <w:t xml:space="preserve"> </w:t>
      </w:r>
      <w:r w:rsidRPr="001D199C">
        <w:rPr>
          <w:strike/>
          <w:lang w:val="en-GB" w:eastAsia="en-GB"/>
        </w:rPr>
        <w:t>during the TCI state switching period</w:t>
      </w:r>
    </w:p>
    <w:p w:rsidR="001D199C" w:rsidRPr="001D199C" w:rsidRDefault="001D199C" w:rsidP="001D199C">
      <w:pPr>
        <w:pStyle w:val="ListParagraph"/>
        <w:numPr>
          <w:ilvl w:val="0"/>
          <w:numId w:val="25"/>
        </w:numPr>
        <w:rPr>
          <w:lang w:eastAsia="en-GB"/>
        </w:rPr>
      </w:pPr>
      <w:r w:rsidRPr="001D199C">
        <w:rPr>
          <w:lang w:val="en-GB" w:eastAsia="en-GB"/>
        </w:rPr>
        <w:t xml:space="preserve">The SSB associated with the TCI state remain detectable </w:t>
      </w:r>
      <w:r w:rsidRPr="001D199C">
        <w:rPr>
          <w:color w:val="FF0000"/>
          <w:lang w:val="en-GB" w:eastAsia="en-GB"/>
        </w:rPr>
        <w:t xml:space="preserve">[with at least one spatial Rx filter] from the last transmission of the RS resource for the L1-RSRP measurement reporting </w:t>
      </w:r>
      <w:r w:rsidRPr="001D199C">
        <w:rPr>
          <w:strike/>
          <w:lang w:val="en-GB" w:eastAsia="en-GB"/>
        </w:rPr>
        <w:t>during the TCI switching period</w:t>
      </w:r>
    </w:p>
    <w:p w:rsidR="001D199C" w:rsidRPr="001D199C" w:rsidRDefault="001D199C" w:rsidP="001D199C">
      <w:pPr>
        <w:pStyle w:val="ListParagraph"/>
        <w:numPr>
          <w:ilvl w:val="1"/>
          <w:numId w:val="25"/>
        </w:numPr>
        <w:rPr>
          <w:lang w:eastAsia="en-GB"/>
        </w:rPr>
      </w:pPr>
      <w:r w:rsidRPr="001D199C">
        <w:rPr>
          <w:lang w:val="en-GB" w:eastAsia="en-GB"/>
        </w:rPr>
        <w:t>SNR of the TCI state is ≥ -3dB</w:t>
      </w:r>
    </w:p>
    <w:p w:rsidR="001D199C" w:rsidRDefault="001D199C" w:rsidP="006B27A4">
      <w:pPr>
        <w:rPr>
          <w:lang w:eastAsia="en-GB"/>
        </w:rPr>
      </w:pPr>
    </w:p>
    <w:p w:rsidR="00AF3692" w:rsidRDefault="00AF3692" w:rsidP="006B27A4">
      <w:pPr>
        <w:rPr>
          <w:lang w:eastAsia="en-GB"/>
        </w:rPr>
      </w:pPr>
      <w:r>
        <w:rPr>
          <w:lang w:eastAsia="en-GB"/>
        </w:rPr>
        <w:t xml:space="preserve">We have a 1280 </w:t>
      </w:r>
      <w:proofErr w:type="spellStart"/>
      <w:r>
        <w:rPr>
          <w:lang w:eastAsia="en-GB"/>
        </w:rPr>
        <w:t>ms</w:t>
      </w:r>
      <w:proofErr w:type="spellEnd"/>
      <w:r>
        <w:rPr>
          <w:lang w:eastAsia="en-GB"/>
        </w:rPr>
        <w:t xml:space="preserve"> period to define known TCI state, additional time for measurement report is unnecessary.</w:t>
      </w:r>
    </w:p>
    <w:p w:rsidR="00AF3692" w:rsidRDefault="00AF3692" w:rsidP="006B27A4">
      <w:pPr>
        <w:rPr>
          <w:lang w:eastAsia="en-GB"/>
        </w:rPr>
      </w:pPr>
      <w:r>
        <w:rPr>
          <w:lang w:eastAsia="en-GB"/>
        </w:rPr>
        <w:t>The TCI state and SSB associated with TCI shall remain detectable during the TCI switching delay. It would be up to the UE if it finds a better Rx beam based on other measurements for the target TCI state to switch to it. Limiting UE to use same spatial Rx filter during TCI state switching might not be helpful.</w:t>
      </w:r>
    </w:p>
    <w:p w:rsidR="001D199C" w:rsidRDefault="00AF3692" w:rsidP="006B27A4">
      <w:pPr>
        <w:rPr>
          <w:lang w:eastAsia="en-GB"/>
        </w:rPr>
      </w:pPr>
      <w:r>
        <w:rPr>
          <w:lang w:eastAsia="en-GB"/>
        </w:rPr>
        <w:t xml:space="preserve">Hence, </w:t>
      </w:r>
      <w:r w:rsidR="003D34D9">
        <w:rPr>
          <w:lang w:eastAsia="en-GB"/>
        </w:rPr>
        <w:t>we</w:t>
      </w:r>
      <w:r>
        <w:rPr>
          <w:lang w:eastAsia="en-GB"/>
        </w:rPr>
        <w:t xml:space="preserve"> propose not to make any changes to the definition of known TCI state.</w:t>
      </w:r>
    </w:p>
    <w:p w:rsidR="00AF3692" w:rsidRPr="00AF3692" w:rsidRDefault="00AF3692" w:rsidP="006B27A4">
      <w:pPr>
        <w:rPr>
          <w:b/>
          <w:lang w:eastAsia="en-GB"/>
        </w:rPr>
      </w:pPr>
      <w:r w:rsidRPr="00AF3692">
        <w:rPr>
          <w:b/>
          <w:lang w:eastAsia="en-GB"/>
        </w:rPr>
        <w:t>Proposal #1: No changes are made to TCI state switching definition</w:t>
      </w:r>
    </w:p>
    <w:p w:rsidR="003B18A7" w:rsidRPr="003B18A7" w:rsidRDefault="003B18A7" w:rsidP="006B27A4">
      <w:pPr>
        <w:rPr>
          <w:b/>
          <w:sz w:val="24"/>
        </w:rPr>
      </w:pPr>
      <w:r w:rsidRPr="003B18A7">
        <w:rPr>
          <w:b/>
          <w:sz w:val="24"/>
        </w:rPr>
        <w:t>Definition of first SSB</w:t>
      </w:r>
    </w:p>
    <w:p w:rsidR="003B18A7" w:rsidRDefault="003D34D9" w:rsidP="006B27A4">
      <w:pPr>
        <w:rPr>
          <w:lang w:eastAsia="en-GB"/>
        </w:rPr>
      </w:pPr>
      <w:r>
        <w:rPr>
          <w:lang w:eastAsia="en-GB"/>
        </w:rPr>
        <w:t>The time to first SSB needs to be clarified further as proposed in [1].</w:t>
      </w:r>
    </w:p>
    <w:p w:rsidR="003D34D9" w:rsidRPr="003D34D9" w:rsidRDefault="003D34D9" w:rsidP="003D34D9">
      <w:pPr>
        <w:numPr>
          <w:ilvl w:val="0"/>
          <w:numId w:val="27"/>
        </w:numPr>
        <w:rPr>
          <w:lang w:eastAsia="en-GB"/>
        </w:rPr>
      </w:pPr>
      <w:r w:rsidRPr="003D34D9">
        <w:rPr>
          <w:lang w:val="en-GB" w:eastAsia="en-GB"/>
        </w:rPr>
        <w:t>In unknown TCI state switch with QCL Type-D</w:t>
      </w:r>
    </w:p>
    <w:p w:rsidR="003D34D9" w:rsidRPr="003D34D9" w:rsidRDefault="00102C46" w:rsidP="003D34D9">
      <w:pPr>
        <w:numPr>
          <w:ilvl w:val="1"/>
          <w:numId w:val="27"/>
        </w:numPr>
        <w:rPr>
          <w:lang w:eastAsia="en-GB"/>
        </w:rPr>
      </w:pPr>
      <m:oMath>
        <m:sSub>
          <m:sSubPr>
            <m:ctrlPr>
              <w:rPr>
                <w:rFonts w:ascii="Cambria Math" w:hAnsi="Cambria Math"/>
                <w:i/>
                <w:iCs/>
                <w:lang w:eastAsia="en-GB"/>
              </w:rPr>
            </m:ctrlPr>
          </m:sSubPr>
          <m:e>
            <m:r>
              <m:rPr>
                <m:sty m:val="p"/>
              </m:rPr>
              <w:rPr>
                <w:rFonts w:ascii="Cambria Math" w:hAnsi="Cambria Math"/>
                <w:lang w:eastAsia="en-GB"/>
              </w:rPr>
              <m:t>T</m:t>
            </m:r>
          </m:e>
          <m:sub>
            <m:r>
              <m:rPr>
                <m:sty m:val="p"/>
              </m:rPr>
              <w:rPr>
                <w:rFonts w:ascii="Cambria Math" w:hAnsi="Cambria Math"/>
                <w:lang w:eastAsia="en-GB"/>
              </w:rPr>
              <m:t>first-SSB</m:t>
            </m:r>
          </m:sub>
        </m:sSub>
      </m:oMath>
      <w:r w:rsidR="003D34D9" w:rsidRPr="003D34D9">
        <w:rPr>
          <w:lang w:eastAsia="en-GB"/>
        </w:rPr>
        <w:t xml:space="preserve"> is time </w:t>
      </w:r>
      <w:r w:rsidR="003D34D9" w:rsidRPr="003D34D9">
        <w:rPr>
          <w:lang w:val="en-GB" w:eastAsia="en-GB"/>
        </w:rPr>
        <w:t>to first SSB transmission after L1-RSRP measurement by the UE</w:t>
      </w:r>
    </w:p>
    <w:p w:rsidR="003D34D9" w:rsidRPr="003D34D9" w:rsidRDefault="003D34D9" w:rsidP="003D34D9">
      <w:pPr>
        <w:numPr>
          <w:ilvl w:val="0"/>
          <w:numId w:val="27"/>
        </w:numPr>
        <w:rPr>
          <w:lang w:eastAsia="en-GB"/>
        </w:rPr>
      </w:pPr>
      <w:r w:rsidRPr="003D34D9">
        <w:rPr>
          <w:lang w:val="en-GB" w:eastAsia="en-GB"/>
        </w:rPr>
        <w:t>In unknown TCI state switch involving with QCL Type-A, B, C only</w:t>
      </w:r>
    </w:p>
    <w:p w:rsidR="003D34D9" w:rsidRPr="003D34D9" w:rsidRDefault="00102C46" w:rsidP="003D34D9">
      <w:pPr>
        <w:numPr>
          <w:ilvl w:val="1"/>
          <w:numId w:val="27"/>
        </w:numPr>
        <w:rPr>
          <w:lang w:eastAsia="en-GB"/>
        </w:rPr>
      </w:pPr>
      <m:oMath>
        <m:sSub>
          <m:sSubPr>
            <m:ctrlPr>
              <w:rPr>
                <w:rFonts w:ascii="Cambria Math" w:hAnsi="Cambria Math"/>
                <w:i/>
                <w:iCs/>
                <w:lang w:eastAsia="en-GB"/>
              </w:rPr>
            </m:ctrlPr>
          </m:sSubPr>
          <m:e>
            <m:r>
              <m:rPr>
                <m:sty m:val="p"/>
              </m:rPr>
              <w:rPr>
                <w:rFonts w:ascii="Cambria Math" w:hAnsi="Cambria Math"/>
                <w:lang w:eastAsia="en-GB"/>
              </w:rPr>
              <m:t>T</m:t>
            </m:r>
          </m:e>
          <m:sub>
            <m:r>
              <m:rPr>
                <m:sty m:val="p"/>
              </m:rPr>
              <w:rPr>
                <w:rFonts w:ascii="Cambria Math" w:hAnsi="Cambria Math"/>
                <w:lang w:eastAsia="en-GB"/>
              </w:rPr>
              <m:t>first-SSB</m:t>
            </m:r>
          </m:sub>
        </m:sSub>
      </m:oMath>
      <w:r w:rsidR="003D34D9" w:rsidRPr="003D34D9">
        <w:rPr>
          <w:lang w:eastAsia="en-GB"/>
        </w:rPr>
        <w:t xml:space="preserve"> is time </w:t>
      </w:r>
      <w:r w:rsidR="003D34D9" w:rsidRPr="003D34D9">
        <w:rPr>
          <w:lang w:val="en-GB" w:eastAsia="en-GB"/>
        </w:rPr>
        <w:t xml:space="preserve">to first SSB transmission after </w:t>
      </w:r>
      <w:r w:rsidR="003D34D9" w:rsidRPr="003D34D9">
        <w:rPr>
          <w:lang w:eastAsia="en-GB"/>
        </w:rPr>
        <w:t xml:space="preserve">MAC CE command </w:t>
      </w:r>
      <w:r w:rsidR="003D34D9" w:rsidRPr="003D34D9">
        <w:rPr>
          <w:lang w:val="en-GB" w:eastAsia="en-GB"/>
        </w:rPr>
        <w:t xml:space="preserve">by the UE. </w:t>
      </w:r>
    </w:p>
    <w:p w:rsidR="003D34D9" w:rsidRPr="003D34D9" w:rsidRDefault="003D34D9" w:rsidP="003D34D9">
      <w:pPr>
        <w:numPr>
          <w:ilvl w:val="0"/>
          <w:numId w:val="27"/>
        </w:numPr>
        <w:rPr>
          <w:lang w:eastAsia="en-GB"/>
        </w:rPr>
      </w:pPr>
      <w:r w:rsidRPr="003D34D9">
        <w:rPr>
          <w:lang w:val="en-GB" w:eastAsia="en-GB"/>
        </w:rPr>
        <w:t xml:space="preserve">In RRC based known TCI state switch </w:t>
      </w:r>
    </w:p>
    <w:p w:rsidR="003D34D9" w:rsidRPr="003D34D9" w:rsidRDefault="00102C46" w:rsidP="003D34D9">
      <w:pPr>
        <w:numPr>
          <w:ilvl w:val="1"/>
          <w:numId w:val="27"/>
        </w:numPr>
        <w:rPr>
          <w:lang w:eastAsia="en-GB"/>
        </w:rPr>
      </w:pPr>
      <m:oMath>
        <m:sSub>
          <m:sSubPr>
            <m:ctrlPr>
              <w:rPr>
                <w:rFonts w:ascii="Cambria Math" w:hAnsi="Cambria Math"/>
                <w:i/>
                <w:iCs/>
                <w:lang w:eastAsia="en-GB"/>
              </w:rPr>
            </m:ctrlPr>
          </m:sSubPr>
          <m:e>
            <m:r>
              <m:rPr>
                <m:sty m:val="p"/>
              </m:rPr>
              <w:rPr>
                <w:rFonts w:ascii="Cambria Math" w:hAnsi="Cambria Math"/>
                <w:lang w:eastAsia="en-GB"/>
              </w:rPr>
              <m:t>T</m:t>
            </m:r>
          </m:e>
          <m:sub>
            <m:r>
              <m:rPr>
                <m:sty m:val="p"/>
              </m:rPr>
              <w:rPr>
                <w:rFonts w:ascii="Cambria Math" w:hAnsi="Cambria Math"/>
                <w:lang w:eastAsia="en-GB"/>
              </w:rPr>
              <m:t>first-SSB</m:t>
            </m:r>
          </m:sub>
        </m:sSub>
      </m:oMath>
      <w:r w:rsidR="003D34D9" w:rsidRPr="003D34D9">
        <w:rPr>
          <w:lang w:eastAsia="en-GB"/>
        </w:rPr>
        <w:t xml:space="preserve"> is time </w:t>
      </w:r>
      <w:r w:rsidR="003D34D9" w:rsidRPr="003D34D9">
        <w:rPr>
          <w:lang w:val="en-GB" w:eastAsia="en-GB"/>
        </w:rPr>
        <w:t>to first SSB transmission after RRC processing by the UE.</w:t>
      </w:r>
    </w:p>
    <w:p w:rsidR="003D34D9" w:rsidRDefault="003D34D9" w:rsidP="006B27A4">
      <w:pPr>
        <w:rPr>
          <w:lang w:eastAsia="en-GB"/>
        </w:rPr>
      </w:pPr>
    </w:p>
    <w:p w:rsidR="003D34D9" w:rsidRDefault="003D34D9" w:rsidP="006B27A4">
      <w:pPr>
        <w:rPr>
          <w:lang w:eastAsia="en-GB"/>
        </w:rPr>
      </w:pPr>
      <w:r>
        <w:rPr>
          <w:lang w:eastAsia="en-GB"/>
        </w:rPr>
        <w:t>For unknown TCI state for QCL type D, the time to first SSB shall be after L1-RSRP measurement. Also need to clarify time to first SSB for MAC CE and RRC based TCI switch.</w:t>
      </w:r>
    </w:p>
    <w:p w:rsidR="003D34D9" w:rsidRPr="003D34D9" w:rsidRDefault="003D34D9" w:rsidP="006B27A4">
      <w:pPr>
        <w:rPr>
          <w:b/>
          <w:lang w:eastAsia="en-GB"/>
        </w:rPr>
      </w:pPr>
      <w:r w:rsidRPr="003D34D9">
        <w:rPr>
          <w:b/>
          <w:lang w:eastAsia="en-GB"/>
        </w:rPr>
        <w:t xml:space="preserve">Proposal #2: Revise definition of time to first SSB for MAC CE and RRC based TCI state switch. </w:t>
      </w:r>
    </w:p>
    <w:p w:rsidR="003B18A7" w:rsidRPr="003B18A7" w:rsidRDefault="003B18A7" w:rsidP="006B27A4">
      <w:pPr>
        <w:rPr>
          <w:b/>
          <w:sz w:val="24"/>
        </w:rPr>
      </w:pPr>
      <w:r w:rsidRPr="003B18A7">
        <w:rPr>
          <w:b/>
          <w:sz w:val="24"/>
        </w:rPr>
        <w:t>QCL related issues</w:t>
      </w:r>
    </w:p>
    <w:p w:rsidR="00373BF6" w:rsidRDefault="00373BF6" w:rsidP="006B27A4">
      <w:pPr>
        <w:rPr>
          <w:lang w:eastAsia="en-GB"/>
        </w:rPr>
      </w:pPr>
      <w:r>
        <w:rPr>
          <w:lang w:eastAsia="en-GB"/>
        </w:rPr>
        <w:t>In [1] the following issues were raised:</w:t>
      </w:r>
    </w:p>
    <w:p w:rsidR="00373BF6" w:rsidRPr="00373BF6" w:rsidRDefault="00373BF6" w:rsidP="00642334">
      <w:pPr>
        <w:numPr>
          <w:ilvl w:val="0"/>
          <w:numId w:val="28"/>
        </w:numPr>
        <w:rPr>
          <w:lang w:eastAsia="en-GB"/>
        </w:rPr>
      </w:pPr>
      <w:r w:rsidRPr="00373BF6">
        <w:rPr>
          <w:lang w:eastAsia="en-GB"/>
        </w:rPr>
        <w:t xml:space="preserve">Issue 4-1: Whether </w:t>
      </w:r>
      <m:oMath>
        <m:sSub>
          <m:sSubPr>
            <m:ctrlPr>
              <w:rPr>
                <w:rFonts w:ascii="Cambria Math" w:hAnsi="Cambria Math"/>
                <w:i/>
                <w:iCs/>
                <w:lang w:eastAsia="en-GB"/>
              </w:rPr>
            </m:ctrlPr>
          </m:sSubPr>
          <m:e>
            <m:r>
              <m:rPr>
                <m:sty m:val="p"/>
              </m:rPr>
              <w:rPr>
                <w:rFonts w:ascii="Cambria Math" w:hAnsi="Cambria Math"/>
                <w:lang w:eastAsia="en-GB"/>
              </w:rPr>
              <m:t>TO</m:t>
            </m:r>
          </m:e>
          <m:sub>
            <m:r>
              <m:rPr>
                <m:sty m:val="p"/>
              </m:rPr>
              <w:rPr>
                <w:rFonts w:ascii="Cambria Math" w:hAnsi="Cambria Math"/>
                <w:lang w:eastAsia="en-GB"/>
              </w:rPr>
              <m:t>uk</m:t>
            </m:r>
          </m:sub>
        </m:sSub>
      </m:oMath>
      <w:r w:rsidRPr="00373BF6">
        <w:rPr>
          <w:lang w:eastAsia="en-GB"/>
        </w:rPr>
        <w:t xml:space="preserve"> should be update to 1 when TCI state switching involves QCL-Type A, B, C only for unknown case.</w:t>
      </w:r>
    </w:p>
    <w:p w:rsidR="00373BF6" w:rsidRPr="00373BF6" w:rsidRDefault="00373BF6" w:rsidP="00642334">
      <w:pPr>
        <w:numPr>
          <w:ilvl w:val="0"/>
          <w:numId w:val="28"/>
        </w:numPr>
        <w:rPr>
          <w:lang w:eastAsia="en-GB"/>
        </w:rPr>
      </w:pPr>
      <w:r w:rsidRPr="00373BF6">
        <w:rPr>
          <w:lang w:val="en-GB" w:eastAsia="en-GB"/>
        </w:rPr>
        <w:t>Issue 4-2: Whether the TCI state switch requirements should only apply to the case where the CSI-RS based TCI state is Type-A, B, C QCL-ed with an SSB.</w:t>
      </w:r>
    </w:p>
    <w:p w:rsidR="00373BF6" w:rsidRDefault="00373BF6" w:rsidP="006B27A4">
      <w:pPr>
        <w:rPr>
          <w:lang w:eastAsia="en-GB"/>
        </w:rPr>
      </w:pPr>
      <w:r>
        <w:rPr>
          <w:lang w:eastAsia="en-GB"/>
        </w:rPr>
        <w:t xml:space="preserve">We agree that </w:t>
      </w:r>
      <w:proofErr w:type="spellStart"/>
      <w:r>
        <w:rPr>
          <w:lang w:eastAsia="en-GB"/>
        </w:rPr>
        <w:t>TO</w:t>
      </w:r>
      <w:r w:rsidRPr="00373BF6">
        <w:rPr>
          <w:vertAlign w:val="subscript"/>
          <w:lang w:eastAsia="en-GB"/>
        </w:rPr>
        <w:t>uk</w:t>
      </w:r>
      <w:proofErr w:type="spellEnd"/>
      <w:r>
        <w:rPr>
          <w:lang w:eastAsia="en-GB"/>
        </w:rPr>
        <w:t xml:space="preserve"> should be 1 when TCI state switching involves QCL type A, B or C.</w:t>
      </w:r>
    </w:p>
    <w:p w:rsidR="00373BF6" w:rsidRPr="00373BF6" w:rsidRDefault="00373BF6" w:rsidP="006B27A4">
      <w:pPr>
        <w:rPr>
          <w:b/>
          <w:lang w:eastAsia="en-GB"/>
        </w:rPr>
      </w:pPr>
      <w:r w:rsidRPr="00373BF6">
        <w:rPr>
          <w:b/>
          <w:lang w:eastAsia="en-GB"/>
        </w:rPr>
        <w:t xml:space="preserve">Proposal #3: Update </w:t>
      </w:r>
      <w:proofErr w:type="spellStart"/>
      <w:r w:rsidRPr="00373BF6">
        <w:rPr>
          <w:b/>
          <w:lang w:eastAsia="en-GB"/>
        </w:rPr>
        <w:t>TO</w:t>
      </w:r>
      <w:r w:rsidRPr="00373BF6">
        <w:rPr>
          <w:b/>
          <w:vertAlign w:val="subscript"/>
          <w:lang w:eastAsia="en-GB"/>
        </w:rPr>
        <w:t>uk</w:t>
      </w:r>
      <w:proofErr w:type="spellEnd"/>
      <w:r w:rsidRPr="00373BF6">
        <w:rPr>
          <w:b/>
          <w:lang w:eastAsia="en-GB"/>
        </w:rPr>
        <w:t xml:space="preserve"> = 1 when target TCI state switch is for QCL type A, B or C</w:t>
      </w:r>
    </w:p>
    <w:p w:rsidR="00373BF6" w:rsidRDefault="00373BF6" w:rsidP="006B27A4">
      <w:pPr>
        <w:rPr>
          <w:lang w:eastAsia="en-GB"/>
        </w:rPr>
      </w:pPr>
      <w:r>
        <w:rPr>
          <w:lang w:eastAsia="en-GB"/>
        </w:rPr>
        <w:lastRenderedPageBreak/>
        <w:t xml:space="preserve">Also, if CSI-RS for L1-RSRP measurement is not </w:t>
      </w:r>
      <w:proofErr w:type="spellStart"/>
      <w:r>
        <w:rPr>
          <w:lang w:eastAsia="en-GB"/>
        </w:rPr>
        <w:t>QCLed</w:t>
      </w:r>
      <w:proofErr w:type="spellEnd"/>
      <w:r>
        <w:rPr>
          <w:lang w:eastAsia="en-GB"/>
        </w:rPr>
        <w:t xml:space="preserve"> with SSB</w:t>
      </w:r>
      <w:r w:rsidR="00642334">
        <w:rPr>
          <w:lang w:eastAsia="en-GB"/>
        </w:rPr>
        <w:t xml:space="preserve"> or CSI-RS for tracking</w:t>
      </w:r>
      <w:r>
        <w:rPr>
          <w:lang w:eastAsia="en-GB"/>
        </w:rPr>
        <w:t xml:space="preserve">, </w:t>
      </w:r>
      <w:r w:rsidR="00642334">
        <w:rPr>
          <w:lang w:eastAsia="en-GB"/>
        </w:rPr>
        <w:t>the UE cannot acquire timing for target TCI state. We propose to update the condition for TCI state switching requirement for unknown case.</w:t>
      </w:r>
    </w:p>
    <w:p w:rsidR="00642334" w:rsidRDefault="00642334" w:rsidP="006B27A4">
      <w:pPr>
        <w:rPr>
          <w:b/>
          <w:lang w:eastAsia="en-GB"/>
        </w:rPr>
      </w:pPr>
      <w:r>
        <w:rPr>
          <w:b/>
          <w:lang w:eastAsia="en-GB"/>
        </w:rPr>
        <w:t xml:space="preserve">Proposal #4: When CSI-RS is used for L1-RSRP measurement for unknown TCI state, the requirements shall apply only if CSI-RS is QCL </w:t>
      </w:r>
      <w:r w:rsidR="00B17B51">
        <w:rPr>
          <w:b/>
          <w:lang w:eastAsia="en-GB"/>
        </w:rPr>
        <w:t>A, B</w:t>
      </w:r>
      <w:r>
        <w:rPr>
          <w:b/>
          <w:lang w:eastAsia="en-GB"/>
        </w:rPr>
        <w:t xml:space="preserve"> or C with SSB</w:t>
      </w:r>
    </w:p>
    <w:p w:rsidR="00642334" w:rsidRPr="00642334" w:rsidRDefault="00642334" w:rsidP="006B27A4">
      <w:pPr>
        <w:rPr>
          <w:b/>
          <w:lang w:eastAsia="en-GB"/>
        </w:rPr>
      </w:pPr>
    </w:p>
    <w:p w:rsidR="003B18A7" w:rsidRPr="003B18A7" w:rsidRDefault="003B18A7" w:rsidP="006B27A4">
      <w:pPr>
        <w:rPr>
          <w:b/>
          <w:sz w:val="24"/>
        </w:rPr>
      </w:pPr>
      <w:r w:rsidRPr="003B18A7">
        <w:rPr>
          <w:b/>
          <w:sz w:val="24"/>
        </w:rPr>
        <w:t>RRC based TCI state switching delay</w:t>
      </w:r>
    </w:p>
    <w:p w:rsidR="003B18A7" w:rsidRDefault="00642334" w:rsidP="006B27A4">
      <w:pPr>
        <w:rPr>
          <w:lang w:eastAsia="en-GB"/>
        </w:rPr>
      </w:pPr>
      <w:r>
        <w:rPr>
          <w:lang w:eastAsia="en-GB"/>
        </w:rPr>
        <w:t>For RRC based TCI state switching the following issues were raised:</w:t>
      </w:r>
    </w:p>
    <w:p w:rsidR="00642334" w:rsidRPr="00642334" w:rsidRDefault="00642334" w:rsidP="00642334">
      <w:pPr>
        <w:numPr>
          <w:ilvl w:val="0"/>
          <w:numId w:val="29"/>
        </w:numPr>
        <w:rPr>
          <w:lang w:eastAsia="en-GB"/>
        </w:rPr>
      </w:pPr>
      <w:r w:rsidRPr="00642334">
        <w:rPr>
          <w:lang w:val="en-GB" w:eastAsia="en-GB"/>
        </w:rPr>
        <w:t>Issue 5-1: Whether the delay requirement for RRC based TCI state switching is only applicable to the case that only one TCI state is configured in TCI state list in RRC reconfiguration.</w:t>
      </w:r>
    </w:p>
    <w:p w:rsidR="00642334" w:rsidRPr="00642334" w:rsidRDefault="00642334" w:rsidP="00642334">
      <w:pPr>
        <w:numPr>
          <w:ilvl w:val="0"/>
          <w:numId w:val="29"/>
        </w:numPr>
        <w:rPr>
          <w:lang w:eastAsia="en-GB"/>
        </w:rPr>
      </w:pPr>
      <w:r w:rsidRPr="00642334">
        <w:rPr>
          <w:lang w:val="en-GB" w:eastAsia="en-GB"/>
        </w:rPr>
        <w:t xml:space="preserve">Issue 5-2: Whether to update the scheduling restriction in TCI state switch as follow: </w:t>
      </w:r>
    </w:p>
    <w:p w:rsidR="00642334" w:rsidRPr="00642334" w:rsidRDefault="00642334" w:rsidP="00642334">
      <w:pPr>
        <w:ind w:left="720"/>
        <w:rPr>
          <w:lang w:eastAsia="en-GB"/>
        </w:rPr>
      </w:pPr>
      <w:r w:rsidRPr="00642334">
        <w:rPr>
          <w:lang w:val="en-GB" w:eastAsia="en-GB"/>
        </w:rPr>
        <w:t>During the RRC based TCI state switching, the UE is not required to receive PDCCH/PDSCH or transmit PUCCH/PUSCH during the RRC reconfiguration procedure and on the OFDM symbols occupied by CSI-RS, SSB or SSB and CSI-RS QCL-ed to the target TCI state until the end of switching period.</w:t>
      </w:r>
    </w:p>
    <w:p w:rsidR="00642334" w:rsidRDefault="00642334" w:rsidP="006B27A4">
      <w:pPr>
        <w:rPr>
          <w:lang w:eastAsia="en-GB"/>
        </w:rPr>
      </w:pPr>
    </w:p>
    <w:p w:rsidR="003B18A7" w:rsidRDefault="00642334" w:rsidP="006B27A4">
      <w:pPr>
        <w:rPr>
          <w:lang w:eastAsia="en-GB"/>
        </w:rPr>
      </w:pPr>
      <w:r>
        <w:rPr>
          <w:lang w:eastAsia="en-GB"/>
        </w:rPr>
        <w:t>We propose to add the above clarifications to RRC based TCI state switching requirements.</w:t>
      </w:r>
    </w:p>
    <w:p w:rsidR="00642334" w:rsidRPr="00642334" w:rsidRDefault="00642334" w:rsidP="006B27A4">
      <w:pPr>
        <w:rPr>
          <w:b/>
          <w:lang w:eastAsia="en-GB"/>
        </w:rPr>
      </w:pPr>
      <w:r>
        <w:rPr>
          <w:b/>
          <w:lang w:eastAsia="en-GB"/>
        </w:rPr>
        <w:t xml:space="preserve">Proposal #5: Add following clarifications to RRC based TCI state switching requirements: </w:t>
      </w:r>
      <w:r>
        <w:rPr>
          <w:b/>
          <w:lang w:eastAsia="en-GB"/>
        </w:rPr>
        <w:tab/>
      </w:r>
      <w:r>
        <w:rPr>
          <w:b/>
          <w:lang w:eastAsia="en-GB"/>
        </w:rPr>
        <w:tab/>
      </w:r>
      <w:r>
        <w:rPr>
          <w:b/>
          <w:lang w:eastAsia="en-GB"/>
        </w:rPr>
        <w:tab/>
      </w:r>
      <w:r>
        <w:rPr>
          <w:b/>
          <w:lang w:eastAsia="en-GB"/>
        </w:rPr>
        <w:tab/>
        <w:t>1. RRC based TCI switching is only applicable when one TCI state is configured in RRC TCI state list</w:t>
      </w:r>
      <w:r>
        <w:rPr>
          <w:b/>
          <w:lang w:eastAsia="en-GB"/>
        </w:rPr>
        <w:tab/>
        <w:t xml:space="preserve">2. </w:t>
      </w:r>
      <w:r w:rsidR="006D59F7" w:rsidRPr="00B17B51">
        <w:rPr>
          <w:b/>
          <w:lang w:eastAsia="en-GB"/>
        </w:rPr>
        <w:t xml:space="preserve">Additional scheduling restriction for CSI-RS and SSB </w:t>
      </w:r>
      <w:proofErr w:type="spellStart"/>
      <w:r w:rsidR="006D59F7" w:rsidRPr="00B17B51">
        <w:rPr>
          <w:b/>
          <w:lang w:eastAsia="en-GB"/>
        </w:rPr>
        <w:t>QCLed</w:t>
      </w:r>
      <w:proofErr w:type="spellEnd"/>
      <w:r w:rsidR="006D59F7" w:rsidRPr="00B17B51">
        <w:rPr>
          <w:b/>
          <w:lang w:eastAsia="en-GB"/>
        </w:rPr>
        <w:t xml:space="preserve"> with target TCI state</w:t>
      </w:r>
    </w:p>
    <w:p w:rsidR="003B18A7" w:rsidRPr="00F25FDF" w:rsidRDefault="003B18A7" w:rsidP="006B27A4">
      <w:pPr>
        <w:rPr>
          <w:lang w:eastAsia="en-GB"/>
        </w:rPr>
      </w:pPr>
    </w:p>
    <w:p w:rsidR="00F25FDF" w:rsidRPr="002F79EB" w:rsidRDefault="00F25FDF" w:rsidP="00F25FDF">
      <w:pPr>
        <w:pStyle w:val="Heading1"/>
        <w:numPr>
          <w:ilvl w:val="0"/>
          <w:numId w:val="22"/>
        </w:numPr>
        <w:overflowPunct/>
        <w:autoSpaceDE/>
        <w:autoSpaceDN/>
        <w:adjustRightInd/>
        <w:textAlignment w:val="auto"/>
        <w:rPr>
          <w:lang w:val="en-US"/>
        </w:rPr>
      </w:pPr>
      <w:r>
        <w:rPr>
          <w:lang w:val="en-US"/>
        </w:rPr>
        <w:t>Conclusion</w:t>
      </w:r>
    </w:p>
    <w:p w:rsidR="00F25FDF" w:rsidRDefault="00F25FDF" w:rsidP="006B27A4">
      <w:r>
        <w:t>In this paper</w:t>
      </w:r>
      <w:r w:rsidR="00B17B51">
        <w:t xml:space="preserve"> we provide our views on open issues related to TCI state switching requirements. Our proposals are summarized below:</w:t>
      </w:r>
    </w:p>
    <w:p w:rsidR="00B17B51" w:rsidRPr="0076400F" w:rsidRDefault="00B17B51" w:rsidP="00B17B51">
      <w:pPr>
        <w:rPr>
          <w:b/>
          <w:lang w:eastAsia="en-GB"/>
        </w:rPr>
      </w:pPr>
      <w:r w:rsidRPr="0076400F">
        <w:rPr>
          <w:b/>
          <w:lang w:eastAsia="en-GB"/>
        </w:rPr>
        <w:t xml:space="preserve">Proposal #1: Discuss motivation </w:t>
      </w:r>
      <w:r>
        <w:rPr>
          <w:b/>
          <w:lang w:eastAsia="en-GB"/>
        </w:rPr>
        <w:t xml:space="preserve">and necessity to </w:t>
      </w:r>
      <w:r w:rsidRPr="0076400F">
        <w:rPr>
          <w:b/>
          <w:lang w:eastAsia="en-GB"/>
        </w:rPr>
        <w:t>introduc</w:t>
      </w:r>
      <w:r>
        <w:rPr>
          <w:b/>
          <w:lang w:eastAsia="en-GB"/>
        </w:rPr>
        <w:t>e</w:t>
      </w:r>
      <w:r w:rsidRPr="0076400F">
        <w:rPr>
          <w:b/>
          <w:lang w:eastAsia="en-GB"/>
        </w:rPr>
        <w:t xml:space="preserve"> of TCI state switching requirements for CSI-RS </w:t>
      </w:r>
      <w:r>
        <w:rPr>
          <w:b/>
          <w:lang w:eastAsia="en-GB"/>
        </w:rPr>
        <w:t xml:space="preserve">for CQI </w:t>
      </w:r>
      <w:r w:rsidRPr="0076400F">
        <w:rPr>
          <w:b/>
          <w:lang w:eastAsia="en-GB"/>
        </w:rPr>
        <w:t>in Rel-16</w:t>
      </w:r>
    </w:p>
    <w:p w:rsidR="00B17B51" w:rsidRPr="003D34D9" w:rsidRDefault="00B17B51" w:rsidP="00B17B51">
      <w:pPr>
        <w:rPr>
          <w:b/>
          <w:lang w:eastAsia="en-GB"/>
        </w:rPr>
      </w:pPr>
      <w:r w:rsidRPr="003D34D9">
        <w:rPr>
          <w:b/>
          <w:lang w:eastAsia="en-GB"/>
        </w:rPr>
        <w:t xml:space="preserve">Proposal #2: Revise definition of time to first SSB for MAC CE and RRC based TCI state switch. </w:t>
      </w:r>
    </w:p>
    <w:p w:rsidR="00B17B51" w:rsidRPr="00373BF6" w:rsidRDefault="00B17B51" w:rsidP="00B17B51">
      <w:pPr>
        <w:rPr>
          <w:b/>
          <w:lang w:eastAsia="en-GB"/>
        </w:rPr>
      </w:pPr>
      <w:r w:rsidRPr="00373BF6">
        <w:rPr>
          <w:b/>
          <w:lang w:eastAsia="en-GB"/>
        </w:rPr>
        <w:t xml:space="preserve">Proposal #3: Update </w:t>
      </w:r>
      <w:proofErr w:type="spellStart"/>
      <w:r w:rsidRPr="00373BF6">
        <w:rPr>
          <w:b/>
          <w:lang w:eastAsia="en-GB"/>
        </w:rPr>
        <w:t>TO</w:t>
      </w:r>
      <w:r w:rsidRPr="00373BF6">
        <w:rPr>
          <w:b/>
          <w:vertAlign w:val="subscript"/>
          <w:lang w:eastAsia="en-GB"/>
        </w:rPr>
        <w:t>uk</w:t>
      </w:r>
      <w:proofErr w:type="spellEnd"/>
      <w:r w:rsidRPr="00373BF6">
        <w:rPr>
          <w:b/>
          <w:lang w:eastAsia="en-GB"/>
        </w:rPr>
        <w:t xml:space="preserve"> = 1 when target TCI state switch is for QCL type A, B or C</w:t>
      </w:r>
    </w:p>
    <w:p w:rsidR="00B17B51" w:rsidRDefault="00B17B51" w:rsidP="00B17B51">
      <w:pPr>
        <w:rPr>
          <w:b/>
          <w:lang w:eastAsia="en-GB"/>
        </w:rPr>
      </w:pPr>
      <w:r>
        <w:rPr>
          <w:b/>
          <w:lang w:eastAsia="en-GB"/>
        </w:rPr>
        <w:t>Proposal #4: When CSI-RS is used for L1-RSRP measurement for unknown TCI state, the requirements shall apply only if CSI-RS is QCL A, B or C with SSB</w:t>
      </w:r>
    </w:p>
    <w:p w:rsidR="00B17B51" w:rsidRPr="00642334" w:rsidRDefault="00B17B51" w:rsidP="00B17B51">
      <w:pPr>
        <w:rPr>
          <w:b/>
          <w:lang w:eastAsia="en-GB"/>
        </w:rPr>
      </w:pPr>
      <w:r>
        <w:rPr>
          <w:b/>
          <w:lang w:eastAsia="en-GB"/>
        </w:rPr>
        <w:t xml:space="preserve">Proposal #5: Add following clarifications to RRC based TCI state switching requirements: </w:t>
      </w:r>
      <w:r>
        <w:rPr>
          <w:b/>
          <w:lang w:eastAsia="en-GB"/>
        </w:rPr>
        <w:tab/>
      </w:r>
      <w:r>
        <w:rPr>
          <w:b/>
          <w:lang w:eastAsia="en-GB"/>
        </w:rPr>
        <w:tab/>
      </w:r>
      <w:r>
        <w:rPr>
          <w:b/>
          <w:lang w:eastAsia="en-GB"/>
        </w:rPr>
        <w:tab/>
      </w:r>
      <w:r>
        <w:rPr>
          <w:b/>
          <w:lang w:eastAsia="en-GB"/>
        </w:rPr>
        <w:tab/>
        <w:t>1. RRC based TCI switching is only applicable when one TCI state is configured in RRC TCI state list</w:t>
      </w:r>
      <w:r>
        <w:rPr>
          <w:b/>
          <w:lang w:eastAsia="en-GB"/>
        </w:rPr>
        <w:tab/>
        <w:t xml:space="preserve">2. </w:t>
      </w:r>
      <w:r w:rsidRPr="00B17B51">
        <w:rPr>
          <w:b/>
          <w:lang w:eastAsia="en-GB"/>
        </w:rPr>
        <w:t xml:space="preserve">Additional scheduling restriction for CSI-RS and SSB </w:t>
      </w:r>
      <w:proofErr w:type="spellStart"/>
      <w:r w:rsidRPr="00B17B51">
        <w:rPr>
          <w:b/>
          <w:lang w:eastAsia="en-GB"/>
        </w:rPr>
        <w:t>QCLed</w:t>
      </w:r>
      <w:proofErr w:type="spellEnd"/>
      <w:r w:rsidRPr="00B17B51">
        <w:rPr>
          <w:b/>
          <w:lang w:eastAsia="en-GB"/>
        </w:rPr>
        <w:t xml:space="preserve"> with target TCI state</w:t>
      </w:r>
    </w:p>
    <w:p w:rsidR="00F25FDF" w:rsidRDefault="00F25FDF" w:rsidP="006B27A4"/>
    <w:p w:rsidR="00F25FDF" w:rsidRDefault="00F25FDF" w:rsidP="005D424C">
      <w:pPr>
        <w:pStyle w:val="Heading1"/>
        <w:numPr>
          <w:ilvl w:val="0"/>
          <w:numId w:val="0"/>
        </w:numPr>
        <w:overflowPunct/>
        <w:autoSpaceDE/>
        <w:autoSpaceDN/>
        <w:adjustRightInd/>
        <w:ind w:left="432" w:hanging="432"/>
        <w:textAlignment w:val="auto"/>
        <w:rPr>
          <w:lang w:val="en-US"/>
        </w:rPr>
      </w:pPr>
      <w:r>
        <w:rPr>
          <w:lang w:val="en-US"/>
        </w:rPr>
        <w:t>Reference</w:t>
      </w:r>
    </w:p>
    <w:p w:rsidR="00F25FDF" w:rsidRDefault="002B7A59" w:rsidP="006B27A4">
      <w:pPr>
        <w:pStyle w:val="ListParagraph"/>
        <w:numPr>
          <w:ilvl w:val="0"/>
          <w:numId w:val="23"/>
        </w:numPr>
      </w:pPr>
      <w:r w:rsidRPr="002B7A59">
        <w:t>R4-1912766</w:t>
      </w:r>
      <w:r>
        <w:t>, “</w:t>
      </w:r>
      <w:r w:rsidRPr="002B7A59">
        <w:t>Way forward on TCI state switching</w:t>
      </w:r>
      <w:r>
        <w:t>”, MediaTek</w:t>
      </w:r>
    </w:p>
    <w:p w:rsidR="00F25FDF" w:rsidRPr="00F25FDF" w:rsidRDefault="00F25FDF" w:rsidP="006B27A4">
      <w:pPr>
        <w:rPr>
          <w:lang w:eastAsia="en-GB"/>
        </w:rPr>
      </w:pPr>
    </w:p>
    <w:p w:rsidR="00F25FDF" w:rsidRPr="00F25FDF" w:rsidRDefault="00F25FDF" w:rsidP="006B27A4"/>
    <w:sectPr w:rsidR="00F25FDF" w:rsidRPr="00F25F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l‚r –¾’©"/>
    <w:panose1 w:val="02020609040205080304"/>
    <w:charset w:val="80"/>
    <w:family w:val="roman"/>
    <w:notTrueType/>
    <w:pitch w:val="fixed"/>
    <w:sig w:usb0="00000000"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72E64C8"/>
    <w:multiLevelType w:val="hybridMultilevel"/>
    <w:tmpl w:val="547C7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CA35E7"/>
    <w:multiLevelType w:val="hybridMultilevel"/>
    <w:tmpl w:val="3C3A0BDA"/>
    <w:lvl w:ilvl="0" w:tplc="D7381584">
      <w:start w:val="2017"/>
      <w:numFmt w:val="bullet"/>
      <w:lvlText w:val="-"/>
      <w:lvlJc w:val="left"/>
      <w:pPr>
        <w:ind w:left="720" w:hanging="360"/>
      </w:pPr>
      <w:rPr>
        <w:rFonts w:ascii="Times New Roman" w:eastAsia="Times New Roman" w:hAnsi="Times New Roman" w:cs="Times New Roman" w:hint="default"/>
      </w:rPr>
    </w:lvl>
    <w:lvl w:ilvl="1" w:tplc="D7381584">
      <w:start w:val="2017"/>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6B0AE6"/>
    <w:multiLevelType w:val="hybridMultilevel"/>
    <w:tmpl w:val="724C6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C167636"/>
    <w:multiLevelType w:val="hybridMultilevel"/>
    <w:tmpl w:val="81647466"/>
    <w:lvl w:ilvl="0" w:tplc="E4B6E006">
      <w:start w:val="1"/>
      <w:numFmt w:val="bullet"/>
      <w:lvlText w:val="•"/>
      <w:lvlJc w:val="left"/>
      <w:pPr>
        <w:tabs>
          <w:tab w:val="num" w:pos="720"/>
        </w:tabs>
        <w:ind w:left="720" w:hanging="360"/>
      </w:pPr>
      <w:rPr>
        <w:rFonts w:ascii="Arial" w:hAnsi="Arial" w:hint="default"/>
      </w:rPr>
    </w:lvl>
    <w:lvl w:ilvl="1" w:tplc="FCDC32D8">
      <w:start w:val="1"/>
      <w:numFmt w:val="bullet"/>
      <w:lvlText w:val="•"/>
      <w:lvlJc w:val="left"/>
      <w:pPr>
        <w:tabs>
          <w:tab w:val="num" w:pos="1440"/>
        </w:tabs>
        <w:ind w:left="1440" w:hanging="360"/>
      </w:pPr>
      <w:rPr>
        <w:rFonts w:ascii="Arial" w:hAnsi="Arial" w:hint="default"/>
      </w:rPr>
    </w:lvl>
    <w:lvl w:ilvl="2" w:tplc="CF0200B0" w:tentative="1">
      <w:start w:val="1"/>
      <w:numFmt w:val="bullet"/>
      <w:lvlText w:val="•"/>
      <w:lvlJc w:val="left"/>
      <w:pPr>
        <w:tabs>
          <w:tab w:val="num" w:pos="2160"/>
        </w:tabs>
        <w:ind w:left="2160" w:hanging="360"/>
      </w:pPr>
      <w:rPr>
        <w:rFonts w:ascii="Arial" w:hAnsi="Arial" w:hint="default"/>
      </w:rPr>
    </w:lvl>
    <w:lvl w:ilvl="3" w:tplc="A434EFAA" w:tentative="1">
      <w:start w:val="1"/>
      <w:numFmt w:val="bullet"/>
      <w:lvlText w:val="•"/>
      <w:lvlJc w:val="left"/>
      <w:pPr>
        <w:tabs>
          <w:tab w:val="num" w:pos="2880"/>
        </w:tabs>
        <w:ind w:left="2880" w:hanging="360"/>
      </w:pPr>
      <w:rPr>
        <w:rFonts w:ascii="Arial" w:hAnsi="Arial" w:hint="default"/>
      </w:rPr>
    </w:lvl>
    <w:lvl w:ilvl="4" w:tplc="104A5384" w:tentative="1">
      <w:start w:val="1"/>
      <w:numFmt w:val="bullet"/>
      <w:lvlText w:val="•"/>
      <w:lvlJc w:val="left"/>
      <w:pPr>
        <w:tabs>
          <w:tab w:val="num" w:pos="3600"/>
        </w:tabs>
        <w:ind w:left="3600" w:hanging="360"/>
      </w:pPr>
      <w:rPr>
        <w:rFonts w:ascii="Arial" w:hAnsi="Arial" w:hint="default"/>
      </w:rPr>
    </w:lvl>
    <w:lvl w:ilvl="5" w:tplc="6D68C7AE" w:tentative="1">
      <w:start w:val="1"/>
      <w:numFmt w:val="bullet"/>
      <w:lvlText w:val="•"/>
      <w:lvlJc w:val="left"/>
      <w:pPr>
        <w:tabs>
          <w:tab w:val="num" w:pos="4320"/>
        </w:tabs>
        <w:ind w:left="4320" w:hanging="360"/>
      </w:pPr>
      <w:rPr>
        <w:rFonts w:ascii="Arial" w:hAnsi="Arial" w:hint="default"/>
      </w:rPr>
    </w:lvl>
    <w:lvl w:ilvl="6" w:tplc="F9C6E84C" w:tentative="1">
      <w:start w:val="1"/>
      <w:numFmt w:val="bullet"/>
      <w:lvlText w:val="•"/>
      <w:lvlJc w:val="left"/>
      <w:pPr>
        <w:tabs>
          <w:tab w:val="num" w:pos="5040"/>
        </w:tabs>
        <w:ind w:left="5040" w:hanging="360"/>
      </w:pPr>
      <w:rPr>
        <w:rFonts w:ascii="Arial" w:hAnsi="Arial" w:hint="default"/>
      </w:rPr>
    </w:lvl>
    <w:lvl w:ilvl="7" w:tplc="2C08B45A" w:tentative="1">
      <w:start w:val="1"/>
      <w:numFmt w:val="bullet"/>
      <w:lvlText w:val="•"/>
      <w:lvlJc w:val="left"/>
      <w:pPr>
        <w:tabs>
          <w:tab w:val="num" w:pos="5760"/>
        </w:tabs>
        <w:ind w:left="5760" w:hanging="360"/>
      </w:pPr>
      <w:rPr>
        <w:rFonts w:ascii="Arial" w:hAnsi="Arial" w:hint="default"/>
      </w:rPr>
    </w:lvl>
    <w:lvl w:ilvl="8" w:tplc="71B0D1D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F5879CD"/>
    <w:multiLevelType w:val="hybridMultilevel"/>
    <w:tmpl w:val="225C9416"/>
    <w:lvl w:ilvl="0" w:tplc="A880D342">
      <w:start w:val="1"/>
      <w:numFmt w:val="bullet"/>
      <w:lvlText w:val="•"/>
      <w:lvlJc w:val="left"/>
      <w:pPr>
        <w:tabs>
          <w:tab w:val="num" w:pos="720"/>
        </w:tabs>
        <w:ind w:left="720" w:hanging="360"/>
      </w:pPr>
      <w:rPr>
        <w:rFonts w:ascii="Arial" w:hAnsi="Arial" w:hint="default"/>
      </w:rPr>
    </w:lvl>
    <w:lvl w:ilvl="1" w:tplc="24287340">
      <w:start w:val="1"/>
      <w:numFmt w:val="bullet"/>
      <w:lvlText w:val="•"/>
      <w:lvlJc w:val="left"/>
      <w:pPr>
        <w:tabs>
          <w:tab w:val="num" w:pos="1440"/>
        </w:tabs>
        <w:ind w:left="1440" w:hanging="360"/>
      </w:pPr>
      <w:rPr>
        <w:rFonts w:ascii="Arial" w:hAnsi="Arial" w:hint="default"/>
      </w:rPr>
    </w:lvl>
    <w:lvl w:ilvl="2" w:tplc="DDBAB77C">
      <w:start w:val="270"/>
      <w:numFmt w:val="bullet"/>
      <w:lvlText w:val="•"/>
      <w:lvlJc w:val="left"/>
      <w:pPr>
        <w:tabs>
          <w:tab w:val="num" w:pos="2160"/>
        </w:tabs>
        <w:ind w:left="2160" w:hanging="360"/>
      </w:pPr>
      <w:rPr>
        <w:rFonts w:ascii="Arial" w:hAnsi="Arial" w:hint="default"/>
      </w:rPr>
    </w:lvl>
    <w:lvl w:ilvl="3" w:tplc="A19662A2" w:tentative="1">
      <w:start w:val="1"/>
      <w:numFmt w:val="bullet"/>
      <w:lvlText w:val="•"/>
      <w:lvlJc w:val="left"/>
      <w:pPr>
        <w:tabs>
          <w:tab w:val="num" w:pos="2880"/>
        </w:tabs>
        <w:ind w:left="2880" w:hanging="360"/>
      </w:pPr>
      <w:rPr>
        <w:rFonts w:ascii="Arial" w:hAnsi="Arial" w:hint="default"/>
      </w:rPr>
    </w:lvl>
    <w:lvl w:ilvl="4" w:tplc="6CE897F6" w:tentative="1">
      <w:start w:val="1"/>
      <w:numFmt w:val="bullet"/>
      <w:lvlText w:val="•"/>
      <w:lvlJc w:val="left"/>
      <w:pPr>
        <w:tabs>
          <w:tab w:val="num" w:pos="3600"/>
        </w:tabs>
        <w:ind w:left="3600" w:hanging="360"/>
      </w:pPr>
      <w:rPr>
        <w:rFonts w:ascii="Arial" w:hAnsi="Arial" w:hint="default"/>
      </w:rPr>
    </w:lvl>
    <w:lvl w:ilvl="5" w:tplc="62DE3658" w:tentative="1">
      <w:start w:val="1"/>
      <w:numFmt w:val="bullet"/>
      <w:lvlText w:val="•"/>
      <w:lvlJc w:val="left"/>
      <w:pPr>
        <w:tabs>
          <w:tab w:val="num" w:pos="4320"/>
        </w:tabs>
        <w:ind w:left="4320" w:hanging="360"/>
      </w:pPr>
      <w:rPr>
        <w:rFonts w:ascii="Arial" w:hAnsi="Arial" w:hint="default"/>
      </w:rPr>
    </w:lvl>
    <w:lvl w:ilvl="6" w:tplc="2AA698DA" w:tentative="1">
      <w:start w:val="1"/>
      <w:numFmt w:val="bullet"/>
      <w:lvlText w:val="•"/>
      <w:lvlJc w:val="left"/>
      <w:pPr>
        <w:tabs>
          <w:tab w:val="num" w:pos="5040"/>
        </w:tabs>
        <w:ind w:left="5040" w:hanging="360"/>
      </w:pPr>
      <w:rPr>
        <w:rFonts w:ascii="Arial" w:hAnsi="Arial" w:hint="default"/>
      </w:rPr>
    </w:lvl>
    <w:lvl w:ilvl="7" w:tplc="75363CCA" w:tentative="1">
      <w:start w:val="1"/>
      <w:numFmt w:val="bullet"/>
      <w:lvlText w:val="•"/>
      <w:lvlJc w:val="left"/>
      <w:pPr>
        <w:tabs>
          <w:tab w:val="num" w:pos="5760"/>
        </w:tabs>
        <w:ind w:left="5760" w:hanging="360"/>
      </w:pPr>
      <w:rPr>
        <w:rFonts w:ascii="Arial" w:hAnsi="Arial" w:hint="default"/>
      </w:rPr>
    </w:lvl>
    <w:lvl w:ilvl="8" w:tplc="71D2E0C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438034A"/>
    <w:multiLevelType w:val="hybridMultilevel"/>
    <w:tmpl w:val="9D8ED6F4"/>
    <w:lvl w:ilvl="0" w:tplc="CF0451A6">
      <w:start w:val="1"/>
      <w:numFmt w:val="bullet"/>
      <w:lvlText w:val="•"/>
      <w:lvlJc w:val="left"/>
      <w:pPr>
        <w:tabs>
          <w:tab w:val="num" w:pos="720"/>
        </w:tabs>
        <w:ind w:left="720" w:hanging="360"/>
      </w:pPr>
      <w:rPr>
        <w:rFonts w:ascii="Arial" w:hAnsi="Arial" w:hint="default"/>
      </w:rPr>
    </w:lvl>
    <w:lvl w:ilvl="1" w:tplc="A3C09EEA">
      <w:start w:val="1"/>
      <w:numFmt w:val="bullet"/>
      <w:lvlText w:val="•"/>
      <w:lvlJc w:val="left"/>
      <w:pPr>
        <w:tabs>
          <w:tab w:val="num" w:pos="1440"/>
        </w:tabs>
        <w:ind w:left="1440" w:hanging="360"/>
      </w:pPr>
      <w:rPr>
        <w:rFonts w:ascii="Arial" w:hAnsi="Arial" w:hint="default"/>
      </w:rPr>
    </w:lvl>
    <w:lvl w:ilvl="2" w:tplc="E1C03C24" w:tentative="1">
      <w:start w:val="1"/>
      <w:numFmt w:val="bullet"/>
      <w:lvlText w:val="•"/>
      <w:lvlJc w:val="left"/>
      <w:pPr>
        <w:tabs>
          <w:tab w:val="num" w:pos="2160"/>
        </w:tabs>
        <w:ind w:left="2160" w:hanging="360"/>
      </w:pPr>
      <w:rPr>
        <w:rFonts w:ascii="Arial" w:hAnsi="Arial" w:hint="default"/>
      </w:rPr>
    </w:lvl>
    <w:lvl w:ilvl="3" w:tplc="A2DC4E8C" w:tentative="1">
      <w:start w:val="1"/>
      <w:numFmt w:val="bullet"/>
      <w:lvlText w:val="•"/>
      <w:lvlJc w:val="left"/>
      <w:pPr>
        <w:tabs>
          <w:tab w:val="num" w:pos="2880"/>
        </w:tabs>
        <w:ind w:left="2880" w:hanging="360"/>
      </w:pPr>
      <w:rPr>
        <w:rFonts w:ascii="Arial" w:hAnsi="Arial" w:hint="default"/>
      </w:rPr>
    </w:lvl>
    <w:lvl w:ilvl="4" w:tplc="B8AE729A" w:tentative="1">
      <w:start w:val="1"/>
      <w:numFmt w:val="bullet"/>
      <w:lvlText w:val="•"/>
      <w:lvlJc w:val="left"/>
      <w:pPr>
        <w:tabs>
          <w:tab w:val="num" w:pos="3600"/>
        </w:tabs>
        <w:ind w:left="3600" w:hanging="360"/>
      </w:pPr>
      <w:rPr>
        <w:rFonts w:ascii="Arial" w:hAnsi="Arial" w:hint="default"/>
      </w:rPr>
    </w:lvl>
    <w:lvl w:ilvl="5" w:tplc="F16AFBFC" w:tentative="1">
      <w:start w:val="1"/>
      <w:numFmt w:val="bullet"/>
      <w:lvlText w:val="•"/>
      <w:lvlJc w:val="left"/>
      <w:pPr>
        <w:tabs>
          <w:tab w:val="num" w:pos="4320"/>
        </w:tabs>
        <w:ind w:left="4320" w:hanging="360"/>
      </w:pPr>
      <w:rPr>
        <w:rFonts w:ascii="Arial" w:hAnsi="Arial" w:hint="default"/>
      </w:rPr>
    </w:lvl>
    <w:lvl w:ilvl="6" w:tplc="C046D160" w:tentative="1">
      <w:start w:val="1"/>
      <w:numFmt w:val="bullet"/>
      <w:lvlText w:val="•"/>
      <w:lvlJc w:val="left"/>
      <w:pPr>
        <w:tabs>
          <w:tab w:val="num" w:pos="5040"/>
        </w:tabs>
        <w:ind w:left="5040" w:hanging="360"/>
      </w:pPr>
      <w:rPr>
        <w:rFonts w:ascii="Arial" w:hAnsi="Arial" w:hint="default"/>
      </w:rPr>
    </w:lvl>
    <w:lvl w:ilvl="7" w:tplc="C9DCA0B8" w:tentative="1">
      <w:start w:val="1"/>
      <w:numFmt w:val="bullet"/>
      <w:lvlText w:val="•"/>
      <w:lvlJc w:val="left"/>
      <w:pPr>
        <w:tabs>
          <w:tab w:val="num" w:pos="5760"/>
        </w:tabs>
        <w:ind w:left="5760" w:hanging="360"/>
      </w:pPr>
      <w:rPr>
        <w:rFonts w:ascii="Arial" w:hAnsi="Arial" w:hint="default"/>
      </w:rPr>
    </w:lvl>
    <w:lvl w:ilvl="8" w:tplc="63728816" w:tentative="1">
      <w:start w:val="1"/>
      <w:numFmt w:val="bullet"/>
      <w:lvlText w:val="•"/>
      <w:lvlJc w:val="left"/>
      <w:pPr>
        <w:tabs>
          <w:tab w:val="num" w:pos="6480"/>
        </w:tabs>
        <w:ind w:left="6480" w:hanging="360"/>
      </w:pPr>
      <w:rPr>
        <w:rFonts w:ascii="Arial" w:hAnsi="Arial"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6"/>
  </w:num>
  <w:num w:numId="24">
    <w:abstractNumId w:val="3"/>
  </w:num>
  <w:num w:numId="25">
    <w:abstractNumId w:val="2"/>
  </w:num>
  <w:num w:numId="26">
    <w:abstractNumId w:val="1"/>
  </w:num>
  <w:num w:numId="27">
    <w:abstractNumId w:val="8"/>
  </w:num>
  <w:num w:numId="28">
    <w:abstractNumId w:val="7"/>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19F"/>
    <w:rsid w:val="00037226"/>
    <w:rsid w:val="000A5AEE"/>
    <w:rsid w:val="000D6425"/>
    <w:rsid w:val="00102C46"/>
    <w:rsid w:val="001B1DF1"/>
    <w:rsid w:val="001D199C"/>
    <w:rsid w:val="00265ECE"/>
    <w:rsid w:val="002B7A59"/>
    <w:rsid w:val="002F79EB"/>
    <w:rsid w:val="00314BC5"/>
    <w:rsid w:val="00373BF6"/>
    <w:rsid w:val="00390B7D"/>
    <w:rsid w:val="003B18A7"/>
    <w:rsid w:val="003D34D9"/>
    <w:rsid w:val="00487801"/>
    <w:rsid w:val="0056282D"/>
    <w:rsid w:val="005650F4"/>
    <w:rsid w:val="005C774C"/>
    <w:rsid w:val="005D424C"/>
    <w:rsid w:val="00642334"/>
    <w:rsid w:val="006528F4"/>
    <w:rsid w:val="006534F9"/>
    <w:rsid w:val="006B27A4"/>
    <w:rsid w:val="006B319F"/>
    <w:rsid w:val="006D59F7"/>
    <w:rsid w:val="006F55C0"/>
    <w:rsid w:val="007267F1"/>
    <w:rsid w:val="00743717"/>
    <w:rsid w:val="0076400F"/>
    <w:rsid w:val="0077561E"/>
    <w:rsid w:val="007E108E"/>
    <w:rsid w:val="007E6871"/>
    <w:rsid w:val="008716B4"/>
    <w:rsid w:val="008816F3"/>
    <w:rsid w:val="00921ADB"/>
    <w:rsid w:val="00A01F3F"/>
    <w:rsid w:val="00A71A68"/>
    <w:rsid w:val="00A81355"/>
    <w:rsid w:val="00AB1D0C"/>
    <w:rsid w:val="00AF3692"/>
    <w:rsid w:val="00B01F61"/>
    <w:rsid w:val="00B13CAE"/>
    <w:rsid w:val="00B17B51"/>
    <w:rsid w:val="00C51C71"/>
    <w:rsid w:val="00C546F9"/>
    <w:rsid w:val="00C5515C"/>
    <w:rsid w:val="00C629E4"/>
    <w:rsid w:val="00CA5AB7"/>
    <w:rsid w:val="00CA62D1"/>
    <w:rsid w:val="00CD2E3F"/>
    <w:rsid w:val="00DB24FD"/>
    <w:rsid w:val="00DC0E02"/>
    <w:rsid w:val="00EA2420"/>
    <w:rsid w:val="00F25FDF"/>
    <w:rsid w:val="00F3314D"/>
    <w:rsid w:val="00FF60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D763F"/>
  <w15:chartTrackingRefBased/>
  <w15:docId w15:val="{70356F31-10FD-43A6-9AED-A62DF208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27A4"/>
    <w:pPr>
      <w:spacing w:after="120"/>
      <w:jc w:val="both"/>
    </w:pPr>
    <w:rPr>
      <w:rFonts w:eastAsia="MS Mincho"/>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F25FDF"/>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5FDF"/>
    <w:rPr>
      <w:rFonts w:eastAsia="MS Mincho"/>
    </w:rPr>
  </w:style>
  <w:style w:type="paragraph" w:styleId="Footer">
    <w:name w:val="footer"/>
    <w:basedOn w:val="Header"/>
    <w:link w:val="FooterChar"/>
    <w:rsid w:val="00F25FDF"/>
    <w:pPr>
      <w:widowControl w:val="0"/>
      <w:tabs>
        <w:tab w:val="clear" w:pos="4153"/>
        <w:tab w:val="clear" w:pos="8306"/>
      </w:tabs>
      <w:jc w:val="center"/>
    </w:pPr>
    <w:rPr>
      <w:rFonts w:ascii="Arial" w:hAnsi="Arial"/>
      <w:b/>
      <w:i/>
      <w:noProof/>
      <w:sz w:val="18"/>
    </w:rPr>
  </w:style>
  <w:style w:type="character" w:customStyle="1" w:styleId="FooterChar">
    <w:name w:val="Footer Char"/>
    <w:basedOn w:val="DefaultParagraphFont"/>
    <w:link w:val="Footer"/>
    <w:rsid w:val="00F25FDF"/>
    <w:rPr>
      <w:rFonts w:ascii="Arial" w:eastAsia="MS Mincho" w:hAnsi="Arial"/>
      <w:b/>
      <w:i/>
      <w:noProof/>
      <w:sz w:val="18"/>
    </w:rPr>
  </w:style>
  <w:style w:type="paragraph" w:customStyle="1" w:styleId="Header-3gppTdoc">
    <w:name w:val="Header-3gpp Tdoc"/>
    <w:basedOn w:val="Header"/>
    <w:link w:val="Header-3gppTdocChar"/>
    <w:qFormat/>
    <w:rsid w:val="00F25FDF"/>
    <w:pPr>
      <w:tabs>
        <w:tab w:val="clear" w:pos="8306"/>
        <w:tab w:val="right" w:pos="9360"/>
      </w:tabs>
    </w:pPr>
    <w:rPr>
      <w:rFonts w:ascii="Arial" w:hAnsi="Arial" w:cs="Arial"/>
      <w:b/>
      <w:sz w:val="24"/>
      <w:szCs w:val="24"/>
    </w:rPr>
  </w:style>
  <w:style w:type="character" w:customStyle="1" w:styleId="Header-3gppTdocChar">
    <w:name w:val="Header-3gpp Tdoc Char"/>
    <w:basedOn w:val="HeaderChar"/>
    <w:link w:val="Header-3gppTdoc"/>
    <w:rsid w:val="00F25FDF"/>
    <w:rPr>
      <w:rFonts w:ascii="Arial" w:eastAsia="MS Mincho" w:hAnsi="Arial" w:cs="Arial"/>
      <w:b/>
      <w:sz w:val="24"/>
      <w:szCs w:val="24"/>
    </w:rPr>
  </w:style>
  <w:style w:type="table" w:styleId="TableGrid">
    <w:name w:val="Table Grid"/>
    <w:basedOn w:val="TableNormal"/>
    <w:uiPriority w:val="39"/>
    <w:rsid w:val="001D19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487392">
      <w:bodyDiv w:val="1"/>
      <w:marLeft w:val="0"/>
      <w:marRight w:val="0"/>
      <w:marTop w:val="0"/>
      <w:marBottom w:val="0"/>
      <w:divBdr>
        <w:top w:val="none" w:sz="0" w:space="0" w:color="auto"/>
        <w:left w:val="none" w:sz="0" w:space="0" w:color="auto"/>
        <w:bottom w:val="none" w:sz="0" w:space="0" w:color="auto"/>
        <w:right w:val="none" w:sz="0" w:space="0" w:color="auto"/>
      </w:divBdr>
      <w:divsChild>
        <w:div w:id="1028291085">
          <w:marLeft w:val="806"/>
          <w:marRight w:val="0"/>
          <w:marTop w:val="115"/>
          <w:marBottom w:val="0"/>
          <w:divBdr>
            <w:top w:val="none" w:sz="0" w:space="0" w:color="auto"/>
            <w:left w:val="none" w:sz="0" w:space="0" w:color="auto"/>
            <w:bottom w:val="none" w:sz="0" w:space="0" w:color="auto"/>
            <w:right w:val="none" w:sz="0" w:space="0" w:color="auto"/>
          </w:divBdr>
        </w:div>
        <w:div w:id="1223249692">
          <w:marLeft w:val="806"/>
          <w:marRight w:val="0"/>
          <w:marTop w:val="115"/>
          <w:marBottom w:val="0"/>
          <w:divBdr>
            <w:top w:val="none" w:sz="0" w:space="0" w:color="auto"/>
            <w:left w:val="none" w:sz="0" w:space="0" w:color="auto"/>
            <w:bottom w:val="none" w:sz="0" w:space="0" w:color="auto"/>
            <w:right w:val="none" w:sz="0" w:space="0" w:color="auto"/>
          </w:divBdr>
        </w:div>
      </w:divsChild>
    </w:div>
    <w:div w:id="748965902">
      <w:bodyDiv w:val="1"/>
      <w:marLeft w:val="0"/>
      <w:marRight w:val="0"/>
      <w:marTop w:val="0"/>
      <w:marBottom w:val="0"/>
      <w:divBdr>
        <w:top w:val="none" w:sz="0" w:space="0" w:color="auto"/>
        <w:left w:val="none" w:sz="0" w:space="0" w:color="auto"/>
        <w:bottom w:val="none" w:sz="0" w:space="0" w:color="auto"/>
        <w:right w:val="none" w:sz="0" w:space="0" w:color="auto"/>
      </w:divBdr>
    </w:div>
    <w:div w:id="1346128868">
      <w:bodyDiv w:val="1"/>
      <w:marLeft w:val="0"/>
      <w:marRight w:val="0"/>
      <w:marTop w:val="0"/>
      <w:marBottom w:val="0"/>
      <w:divBdr>
        <w:top w:val="none" w:sz="0" w:space="0" w:color="auto"/>
        <w:left w:val="none" w:sz="0" w:space="0" w:color="auto"/>
        <w:bottom w:val="none" w:sz="0" w:space="0" w:color="auto"/>
        <w:right w:val="none" w:sz="0" w:space="0" w:color="auto"/>
      </w:divBdr>
      <w:divsChild>
        <w:div w:id="1084497025">
          <w:marLeft w:val="634"/>
          <w:marRight w:val="0"/>
          <w:marTop w:val="115"/>
          <w:marBottom w:val="0"/>
          <w:divBdr>
            <w:top w:val="none" w:sz="0" w:space="0" w:color="auto"/>
            <w:left w:val="none" w:sz="0" w:space="0" w:color="auto"/>
            <w:bottom w:val="none" w:sz="0" w:space="0" w:color="auto"/>
            <w:right w:val="none" w:sz="0" w:space="0" w:color="auto"/>
          </w:divBdr>
        </w:div>
        <w:div w:id="1937447203">
          <w:marLeft w:val="634"/>
          <w:marRight w:val="0"/>
          <w:marTop w:val="115"/>
          <w:marBottom w:val="0"/>
          <w:divBdr>
            <w:top w:val="none" w:sz="0" w:space="0" w:color="auto"/>
            <w:left w:val="none" w:sz="0" w:space="0" w:color="auto"/>
            <w:bottom w:val="none" w:sz="0" w:space="0" w:color="auto"/>
            <w:right w:val="none" w:sz="0" w:space="0" w:color="auto"/>
          </w:divBdr>
        </w:div>
      </w:divsChild>
    </w:div>
    <w:div w:id="1636107760">
      <w:bodyDiv w:val="1"/>
      <w:marLeft w:val="0"/>
      <w:marRight w:val="0"/>
      <w:marTop w:val="0"/>
      <w:marBottom w:val="0"/>
      <w:divBdr>
        <w:top w:val="none" w:sz="0" w:space="0" w:color="auto"/>
        <w:left w:val="none" w:sz="0" w:space="0" w:color="auto"/>
        <w:bottom w:val="none" w:sz="0" w:space="0" w:color="auto"/>
        <w:right w:val="none" w:sz="0" w:space="0" w:color="auto"/>
      </w:divBdr>
      <w:divsChild>
        <w:div w:id="232546355">
          <w:marLeft w:val="1267"/>
          <w:marRight w:val="0"/>
          <w:marTop w:val="96"/>
          <w:marBottom w:val="0"/>
          <w:divBdr>
            <w:top w:val="none" w:sz="0" w:space="0" w:color="auto"/>
            <w:left w:val="none" w:sz="0" w:space="0" w:color="auto"/>
            <w:bottom w:val="none" w:sz="0" w:space="0" w:color="auto"/>
            <w:right w:val="none" w:sz="0" w:space="0" w:color="auto"/>
          </w:divBdr>
        </w:div>
        <w:div w:id="331419482">
          <w:marLeft w:val="1886"/>
          <w:marRight w:val="0"/>
          <w:marTop w:val="96"/>
          <w:marBottom w:val="0"/>
          <w:divBdr>
            <w:top w:val="none" w:sz="0" w:space="0" w:color="auto"/>
            <w:left w:val="none" w:sz="0" w:space="0" w:color="auto"/>
            <w:bottom w:val="none" w:sz="0" w:space="0" w:color="auto"/>
            <w:right w:val="none" w:sz="0" w:space="0" w:color="auto"/>
          </w:divBdr>
        </w:div>
        <w:div w:id="1438940492">
          <w:marLeft w:val="1267"/>
          <w:marRight w:val="0"/>
          <w:marTop w:val="96"/>
          <w:marBottom w:val="0"/>
          <w:divBdr>
            <w:top w:val="none" w:sz="0" w:space="0" w:color="auto"/>
            <w:left w:val="none" w:sz="0" w:space="0" w:color="auto"/>
            <w:bottom w:val="none" w:sz="0" w:space="0" w:color="auto"/>
            <w:right w:val="none" w:sz="0" w:space="0" w:color="auto"/>
          </w:divBdr>
        </w:div>
        <w:div w:id="218594791">
          <w:marLeft w:val="1886"/>
          <w:marRight w:val="0"/>
          <w:marTop w:val="96"/>
          <w:marBottom w:val="0"/>
          <w:divBdr>
            <w:top w:val="none" w:sz="0" w:space="0" w:color="auto"/>
            <w:left w:val="none" w:sz="0" w:space="0" w:color="auto"/>
            <w:bottom w:val="none" w:sz="0" w:space="0" w:color="auto"/>
            <w:right w:val="none" w:sz="0" w:space="0" w:color="auto"/>
          </w:divBdr>
        </w:div>
        <w:div w:id="838233564">
          <w:marLeft w:val="1267"/>
          <w:marRight w:val="0"/>
          <w:marTop w:val="96"/>
          <w:marBottom w:val="0"/>
          <w:divBdr>
            <w:top w:val="none" w:sz="0" w:space="0" w:color="auto"/>
            <w:left w:val="none" w:sz="0" w:space="0" w:color="auto"/>
            <w:bottom w:val="none" w:sz="0" w:space="0" w:color="auto"/>
            <w:right w:val="none" w:sz="0" w:space="0" w:color="auto"/>
          </w:divBdr>
        </w:div>
        <w:div w:id="950236227">
          <w:marLeft w:val="1886"/>
          <w:marRight w:val="0"/>
          <w:marTop w:val="96"/>
          <w:marBottom w:val="0"/>
          <w:divBdr>
            <w:top w:val="none" w:sz="0" w:space="0" w:color="auto"/>
            <w:left w:val="none" w:sz="0" w:space="0" w:color="auto"/>
            <w:bottom w:val="none" w:sz="0" w:space="0" w:color="auto"/>
            <w:right w:val="none" w:sz="0" w:space="0" w:color="auto"/>
          </w:divBdr>
        </w:div>
      </w:divsChild>
    </w:div>
    <w:div w:id="1828159016">
      <w:bodyDiv w:val="1"/>
      <w:marLeft w:val="0"/>
      <w:marRight w:val="0"/>
      <w:marTop w:val="0"/>
      <w:marBottom w:val="0"/>
      <w:divBdr>
        <w:top w:val="none" w:sz="0" w:space="0" w:color="auto"/>
        <w:left w:val="none" w:sz="0" w:space="0" w:color="auto"/>
        <w:bottom w:val="none" w:sz="0" w:space="0" w:color="auto"/>
        <w:right w:val="none" w:sz="0" w:space="0" w:color="auto"/>
      </w:divBdr>
    </w:div>
    <w:div w:id="2059628031">
      <w:bodyDiv w:val="1"/>
      <w:marLeft w:val="0"/>
      <w:marRight w:val="0"/>
      <w:marTop w:val="0"/>
      <w:marBottom w:val="0"/>
      <w:divBdr>
        <w:top w:val="none" w:sz="0" w:space="0" w:color="auto"/>
        <w:left w:val="none" w:sz="0" w:space="0" w:color="auto"/>
        <w:bottom w:val="none" w:sz="0" w:space="0" w:color="auto"/>
        <w:right w:val="none" w:sz="0" w:space="0" w:color="auto"/>
      </w:divBdr>
      <w:divsChild>
        <w:div w:id="2053653994">
          <w:marLeft w:val="1267"/>
          <w:marRight w:val="0"/>
          <w:marTop w:val="96"/>
          <w:marBottom w:val="0"/>
          <w:divBdr>
            <w:top w:val="none" w:sz="0" w:space="0" w:color="auto"/>
            <w:left w:val="none" w:sz="0" w:space="0" w:color="auto"/>
            <w:bottom w:val="none" w:sz="0" w:space="0" w:color="auto"/>
            <w:right w:val="none" w:sz="0" w:space="0" w:color="auto"/>
          </w:divBdr>
        </w:div>
        <w:div w:id="40524355">
          <w:marLeft w:val="1886"/>
          <w:marRight w:val="0"/>
          <w:marTop w:val="96"/>
          <w:marBottom w:val="0"/>
          <w:divBdr>
            <w:top w:val="none" w:sz="0" w:space="0" w:color="auto"/>
            <w:left w:val="none" w:sz="0" w:space="0" w:color="auto"/>
            <w:bottom w:val="none" w:sz="0" w:space="0" w:color="auto"/>
            <w:right w:val="none" w:sz="0" w:space="0" w:color="auto"/>
          </w:divBdr>
        </w:div>
        <w:div w:id="1467044071">
          <w:marLeft w:val="1267"/>
          <w:marRight w:val="0"/>
          <w:marTop w:val="96"/>
          <w:marBottom w:val="0"/>
          <w:divBdr>
            <w:top w:val="none" w:sz="0" w:space="0" w:color="auto"/>
            <w:left w:val="none" w:sz="0" w:space="0" w:color="auto"/>
            <w:bottom w:val="none" w:sz="0" w:space="0" w:color="auto"/>
            <w:right w:val="none" w:sz="0" w:space="0" w:color="auto"/>
          </w:divBdr>
        </w:div>
        <w:div w:id="390544549">
          <w:marLeft w:val="1886"/>
          <w:marRight w:val="0"/>
          <w:marTop w:val="96"/>
          <w:marBottom w:val="0"/>
          <w:divBdr>
            <w:top w:val="none" w:sz="0" w:space="0" w:color="auto"/>
            <w:left w:val="none" w:sz="0" w:space="0" w:color="auto"/>
            <w:bottom w:val="none" w:sz="0" w:space="0" w:color="auto"/>
            <w:right w:val="none" w:sz="0" w:space="0" w:color="auto"/>
          </w:divBdr>
        </w:div>
        <w:div w:id="1031342995">
          <w:marLeft w:val="1267"/>
          <w:marRight w:val="0"/>
          <w:marTop w:val="96"/>
          <w:marBottom w:val="0"/>
          <w:divBdr>
            <w:top w:val="none" w:sz="0" w:space="0" w:color="auto"/>
            <w:left w:val="none" w:sz="0" w:space="0" w:color="auto"/>
            <w:bottom w:val="none" w:sz="0" w:space="0" w:color="auto"/>
            <w:right w:val="none" w:sz="0" w:space="0" w:color="auto"/>
          </w:divBdr>
        </w:div>
        <w:div w:id="586577338">
          <w:marLeft w:val="1886"/>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364</TotalTime>
  <Pages>3</Pages>
  <Words>1152</Words>
  <Characters>5501</Characters>
  <Application>Microsoft Office Word</Application>
  <DocSecurity>0</DocSecurity>
  <Lines>108</Lines>
  <Paragraphs>72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Intel_RAN4#93</cp:lastModifiedBy>
  <cp:revision>7</cp:revision>
  <dcterms:created xsi:type="dcterms:W3CDTF">2019-11-05T22:31:00Z</dcterms:created>
  <dcterms:modified xsi:type="dcterms:W3CDTF">2019-11-08T01:18:00Z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53b0f93a-ae28-4197-be52-4c422ffc9056</vt:lpwstr>
  </property>
  <property fmtid="{D5CDD505-2E9C-101B-9397-08002B2CF9AE}" pid="3" name="CTP_TimeStamp">
    <vt:lpwstr>2019-11-08 01:18:33Z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